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themeColor="background1"/>
  <w:body>
    <w:p w14:paraId="7D7681C0" w14:textId="11042F3D" w:rsidR="003D6422" w:rsidRDefault="00695A1D" w:rsidP="003C6FB7">
      <w:pPr>
        <w:ind w:left="-709"/>
      </w:pPr>
      <w:r>
        <w:rPr>
          <w:noProof/>
        </w:rPr>
        <w:drawing>
          <wp:anchor distT="0" distB="0" distL="114300" distR="114300" simplePos="0" relativeHeight="251660288" behindDoc="1" locked="0" layoutInCell="1" allowOverlap="1" wp14:anchorId="19AE5D19" wp14:editId="0ABF8FAC">
            <wp:simplePos x="0" y="0"/>
            <wp:positionH relativeFrom="page">
              <wp:posOffset>5097</wp:posOffset>
            </wp:positionH>
            <wp:positionV relativeFrom="paragraph">
              <wp:posOffset>-1434465</wp:posOffset>
            </wp:positionV>
            <wp:extent cx="7530465" cy="10651490"/>
            <wp:effectExtent l="0" t="0" r="0" b="0"/>
            <wp:wrapNone/>
            <wp:docPr id="1" name="Imagen 1" descr="Patrón de fond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Patrón de fondo&#10;&#10;El contenido generado por IA puede ser incorrecto."/>
                    <pic:cNvPicPr/>
                  </pic:nvPicPr>
                  <pic:blipFill>
                    <a:blip r:embed="rId8">
                      <a:extLst>
                        <a:ext uri="{28A0092B-C50C-407E-A947-70E740481C1C}">
                          <a14:useLocalDpi xmlns:a14="http://schemas.microsoft.com/office/drawing/2010/main" val="0"/>
                        </a:ext>
                      </a:extLst>
                    </a:blip>
                    <a:stretch>
                      <a:fillRect/>
                    </a:stretch>
                  </pic:blipFill>
                  <pic:spPr>
                    <a:xfrm>
                      <a:off x="0" y="0"/>
                      <a:ext cx="7530465" cy="1065149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62336" behindDoc="0" locked="0" layoutInCell="1" allowOverlap="1" wp14:anchorId="5C689148" wp14:editId="689502E9">
                <wp:simplePos x="0" y="0"/>
                <wp:positionH relativeFrom="page">
                  <wp:posOffset>33655</wp:posOffset>
                </wp:positionH>
                <wp:positionV relativeFrom="paragraph">
                  <wp:posOffset>-73042</wp:posOffset>
                </wp:positionV>
                <wp:extent cx="7493876" cy="10651490"/>
                <wp:effectExtent l="0" t="0" r="0" b="0"/>
                <wp:wrapNone/>
                <wp:docPr id="2" name="Cuadro de texto 2"/>
                <wp:cNvGraphicFramePr/>
                <a:graphic xmlns:a="http://schemas.openxmlformats.org/drawingml/2006/main">
                  <a:graphicData uri="http://schemas.microsoft.com/office/word/2010/wordprocessingShape">
                    <wps:wsp>
                      <wps:cNvSpPr txBox="1"/>
                      <wps:spPr>
                        <a:xfrm>
                          <a:off x="0" y="0"/>
                          <a:ext cx="7493876" cy="10651490"/>
                        </a:xfrm>
                        <a:prstGeom prst="rect">
                          <a:avLst/>
                        </a:prstGeom>
                        <a:noFill/>
                        <a:ln>
                          <a:noFill/>
                        </a:ln>
                      </wps:spPr>
                      <wps:txbx>
                        <w:txbxContent>
                          <w:p w14:paraId="11B505D5" w14:textId="77777777" w:rsidR="003D6422" w:rsidRPr="003D6422" w:rsidRDefault="003D6422" w:rsidP="003D6422">
                            <w:pPr>
                              <w:jc w:val="center"/>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pPr>
                            <w:r w:rsidRPr="003D6422">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Análisis Estadístico</w:t>
                            </w:r>
                          </w:p>
                          <w:p w14:paraId="60EDF320" w14:textId="6DF48DC1" w:rsidR="003D6422" w:rsidRDefault="003D6422" w:rsidP="003D6422">
                            <w:pPr>
                              <w:jc w:val="center"/>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pPr>
                            <w:r w:rsidRPr="003D6422">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 xml:space="preserve"> </w:t>
                            </w:r>
                            <w:r w:rsidR="00590D6F">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IPC</w:t>
                            </w:r>
                            <w:r w:rsidR="00DA7D4B">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 xml:space="preserve"> Adelantado</w:t>
                            </w:r>
                          </w:p>
                          <w:p w14:paraId="757D1A0E" w14:textId="0C471606" w:rsidR="003D6422" w:rsidRPr="003D6422" w:rsidRDefault="00541068" w:rsidP="003D6422">
                            <w:pPr>
                              <w:jc w:val="center"/>
                              <w:rPr>
                                <w:b/>
                                <w:noProof/>
                                <w:color w:val="E5B8B7" w:themeColor="accent2" w:themeTint="66"/>
                                <w:sz w:val="80"/>
                                <w:szCs w:val="80"/>
                                <w14:textOutline w14:w="11112" w14:cap="flat" w14:cmpd="sng" w14:algn="ctr">
                                  <w14:solidFill>
                                    <w14:srgbClr w14:val="663300"/>
                                  </w14:solidFill>
                                  <w14:prstDash w14:val="solid"/>
                                  <w14:round/>
                                </w14:textOutline>
                                <w14:numForm w14:val="oldStyle"/>
                                <w14:numSpacing w14:val="tabular"/>
                              </w:rPr>
                            </w:pPr>
                            <w:r>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Octubre</w:t>
                            </w:r>
                            <w:r w:rsidR="003D6422">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 xml:space="preserve"> 2025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5C689148" id="_x0000_t202" coordsize="21600,21600" o:spt="202" path="m,l,21600r21600,l21600,xe">
                <v:stroke joinstyle="miter"/>
                <v:path gradientshapeok="t" o:connecttype="rect"/>
              </v:shapetype>
              <v:shape id="Cuadro de texto 2" o:spid="_x0000_s1026" type="#_x0000_t202" style="position:absolute;left:0;text-align:left;margin-left:2.65pt;margin-top:-5.75pt;width:590.05pt;height:838.7pt;z-index:251662336;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" filled="f" stroked="f">
                <v:textbox style="mso-fit-shape-to-text:t">
                  <w:txbxContent>
                    <w:p w14:paraId="11B505D5" w14:textId="77777777" w:rsidR="003D6422" w:rsidRPr="003D6422" w:rsidRDefault="003D6422" w:rsidP="003D6422">
                      <w:pPr>
                        <w:jc w:val="center"/>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pPr>
                      <w:r w:rsidRPr="003D6422">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Análisis Estadístico</w:t>
                      </w:r>
                    </w:p>
                    <w:p w14:paraId="60EDF320" w14:textId="6DF48DC1" w:rsidR="003D6422" w:rsidRDefault="003D6422" w:rsidP="003D6422">
                      <w:pPr>
                        <w:jc w:val="center"/>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pPr>
                      <w:r w:rsidRPr="003D6422">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 xml:space="preserve"> </w:t>
                      </w:r>
                      <w:r w:rsidR="00590D6F">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IPC</w:t>
                      </w:r>
                      <w:r w:rsidR="00DA7D4B">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 xml:space="preserve"> Adelantado</w:t>
                      </w:r>
                    </w:p>
                    <w:p w14:paraId="757D1A0E" w14:textId="0C471606" w:rsidR="003D6422" w:rsidRPr="003D6422" w:rsidRDefault="00541068" w:rsidP="003D6422">
                      <w:pPr>
                        <w:jc w:val="center"/>
                        <w:rPr>
                          <w:b/>
                          <w:noProof/>
                          <w:color w:val="E5B8B7" w:themeColor="accent2" w:themeTint="66"/>
                          <w:sz w:val="80"/>
                          <w:szCs w:val="80"/>
                          <w14:textOutline w14:w="11112" w14:cap="flat" w14:cmpd="sng" w14:algn="ctr">
                            <w14:solidFill>
                              <w14:srgbClr w14:val="663300"/>
                            </w14:solidFill>
                            <w14:prstDash w14:val="solid"/>
                            <w14:round/>
                          </w14:textOutline>
                          <w14:numForm w14:val="oldStyle"/>
                          <w14:numSpacing w14:val="tabular"/>
                        </w:rPr>
                      </w:pPr>
                      <w:r>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Octubre</w:t>
                      </w:r>
                      <w:r w:rsidR="003D6422">
                        <w:rPr>
                          <w:b/>
                          <w:outline/>
                          <w:noProof/>
                          <w:color w:val="663300"/>
                          <w:sz w:val="80"/>
                          <w:szCs w:val="80"/>
                          <w14:shadow w14:blurRad="0" w14:dist="38100" w14:dir="2700000" w14:sx="100000" w14:sy="100000" w14:kx="0" w14:ky="0" w14:algn="tl">
                            <w14:schemeClr w14:val="accent2"/>
                          </w14:shadow>
                          <w14:textOutline w14:w="6604" w14:cap="flat" w14:cmpd="sng" w14:algn="ctr">
                            <w14:solidFill>
                              <w14:srgbClr w14:val="663300"/>
                            </w14:solidFill>
                            <w14:prstDash w14:val="solid"/>
                            <w14:round/>
                          </w14:textOutline>
                          <w14:textFill>
                            <w14:solidFill>
                              <w14:srgbClr w14:val="FFFFFF"/>
                            </w14:solidFill>
                          </w14:textFill>
                          <w14:numForm w14:val="oldStyle"/>
                          <w14:numSpacing w14:val="tabular"/>
                        </w:rPr>
                        <w:t xml:space="preserve"> 2025</w:t>
                      </w:r>
                    </w:p>
                  </w:txbxContent>
                </v:textbox>
                <w10:wrap anchorx="page"/>
              </v:shape>
            </w:pict>
          </mc:Fallback>
        </mc:AlternateContent>
      </w:r>
    </w:p>
    <w:p w14:paraId="741336D5" w14:textId="77777777" w:rsidR="00545A39" w:rsidRPr="00545A39" w:rsidRDefault="003D6422" w:rsidP="00545A39">
      <w:pPr>
        <w:rPr>
          <w:rFonts w:ascii="Calibri" w:eastAsia="Calibri" w:hAnsi="Calibri" w:cs="Times New Roman"/>
        </w:rPr>
      </w:pPr>
      <w:r>
        <w:br w:type="page"/>
      </w:r>
    </w:p>
    <w:p w14:paraId="202B7CEC" w14:textId="727D5EF3" w:rsidR="00545A39" w:rsidRPr="00545A39" w:rsidRDefault="00545A39" w:rsidP="00545A39">
      <w:pPr>
        <w:jc w:val="center"/>
        <w:rPr>
          <w:rFonts w:ascii="Calibri" w:eastAsia="Calibri" w:hAnsi="Calibri" w:cs="Times New Roman"/>
          <w:b/>
          <w:bCs/>
          <w:color w:val="FF0000"/>
          <w:sz w:val="32"/>
          <w:szCs w:val="32"/>
          <w:u w:val="single"/>
        </w:rPr>
      </w:pPr>
      <w:r w:rsidRPr="00545A39">
        <w:rPr>
          <w:rFonts w:ascii="Calibri" w:eastAsia="Calibri" w:hAnsi="Calibri" w:cs="Times New Roman"/>
          <w:b/>
          <w:bCs/>
          <w:color w:val="FF0000"/>
          <w:sz w:val="32"/>
          <w:szCs w:val="32"/>
          <w:u w:val="single"/>
        </w:rPr>
        <w:lastRenderedPageBreak/>
        <w:t xml:space="preserve">INFORME ESTADÍSTICO IPC </w:t>
      </w:r>
      <w:r w:rsidR="00CC404F">
        <w:rPr>
          <w:rFonts w:ascii="Calibri" w:eastAsia="Calibri" w:hAnsi="Calibri" w:cs="Times New Roman"/>
          <w:b/>
          <w:bCs/>
          <w:color w:val="FF0000"/>
          <w:sz w:val="32"/>
          <w:szCs w:val="32"/>
          <w:u w:val="single"/>
        </w:rPr>
        <w:t xml:space="preserve">ADELANTADO </w:t>
      </w:r>
      <w:r w:rsidR="00587D6E">
        <w:rPr>
          <w:rFonts w:ascii="Calibri" w:eastAsia="Calibri" w:hAnsi="Calibri" w:cs="Times New Roman"/>
          <w:b/>
          <w:bCs/>
          <w:color w:val="FF0000"/>
          <w:sz w:val="32"/>
          <w:szCs w:val="32"/>
          <w:u w:val="single"/>
        </w:rPr>
        <w:t>OCTUBRE</w:t>
      </w:r>
      <w:r w:rsidRPr="00545A39">
        <w:rPr>
          <w:rFonts w:ascii="Calibri" w:eastAsia="Calibri" w:hAnsi="Calibri" w:cs="Times New Roman"/>
          <w:b/>
          <w:bCs/>
          <w:color w:val="FF0000"/>
          <w:sz w:val="32"/>
          <w:szCs w:val="32"/>
          <w:u w:val="single"/>
        </w:rPr>
        <w:t xml:space="preserve"> 2025</w:t>
      </w:r>
    </w:p>
    <w:p w14:paraId="3F6420CF" w14:textId="77777777" w:rsidR="00545A39" w:rsidRPr="00545A39" w:rsidRDefault="00545A39" w:rsidP="00545A39">
      <w:pPr>
        <w:jc w:val="both"/>
        <w:rPr>
          <w:rFonts w:ascii="Calibri" w:eastAsia="Calibri" w:hAnsi="Calibri" w:cs="Times New Roman"/>
          <w:sz w:val="40"/>
          <w:szCs w:val="40"/>
        </w:rPr>
      </w:pPr>
    </w:p>
    <w:p w14:paraId="7F4B6C14" w14:textId="7F9C1278" w:rsidR="00545A39" w:rsidRPr="00A85A8B" w:rsidRDefault="00E62525" w:rsidP="00545A39">
      <w:pPr>
        <w:jc w:val="center"/>
        <w:rPr>
          <w:rFonts w:ascii="Calibri" w:eastAsia="Calibri" w:hAnsi="Calibri" w:cs="Times New Roman"/>
          <w:color w:val="FF0000"/>
          <w:sz w:val="32"/>
          <w:szCs w:val="32"/>
        </w:rPr>
      </w:pPr>
      <w:r>
        <w:rPr>
          <w:rFonts w:ascii="Calibri" w:eastAsia="Calibri" w:hAnsi="Calibri" w:cs="Times New Roman"/>
          <w:color w:val="FF0000"/>
          <w:sz w:val="32"/>
          <w:szCs w:val="32"/>
        </w:rPr>
        <w:t>La inflación repunta en octubre por la subida de la electricidad</w:t>
      </w:r>
    </w:p>
    <w:p w14:paraId="455DD994" w14:textId="7AB24016" w:rsidR="00407608" w:rsidRPr="00A85A8B" w:rsidRDefault="00136009" w:rsidP="00545A39">
      <w:pPr>
        <w:jc w:val="center"/>
        <w:rPr>
          <w:rFonts w:ascii="Calibri" w:eastAsia="Calibri" w:hAnsi="Calibri" w:cs="Times New Roman"/>
          <w:i/>
          <w:iCs/>
          <w:sz w:val="28"/>
          <w:szCs w:val="28"/>
        </w:rPr>
      </w:pPr>
      <w:r>
        <w:rPr>
          <w:rFonts w:ascii="Calibri" w:eastAsia="Calibri" w:hAnsi="Calibri" w:cs="Times New Roman"/>
          <w:i/>
          <w:iCs/>
          <w:sz w:val="28"/>
          <w:szCs w:val="28"/>
        </w:rPr>
        <w:t xml:space="preserve">La interanual </w:t>
      </w:r>
      <w:r w:rsidR="00E62525">
        <w:rPr>
          <w:rFonts w:ascii="Calibri" w:eastAsia="Calibri" w:hAnsi="Calibri" w:cs="Times New Roman"/>
          <w:i/>
          <w:iCs/>
          <w:sz w:val="28"/>
          <w:szCs w:val="28"/>
        </w:rPr>
        <w:t>aumenta un punto hasta el 3,1</w:t>
      </w:r>
      <w:r>
        <w:rPr>
          <w:rFonts w:ascii="Calibri" w:eastAsia="Calibri" w:hAnsi="Calibri" w:cs="Times New Roman"/>
          <w:i/>
          <w:iCs/>
          <w:sz w:val="28"/>
          <w:szCs w:val="28"/>
        </w:rPr>
        <w:t>%</w:t>
      </w:r>
      <w:r w:rsidR="00E62525">
        <w:rPr>
          <w:rFonts w:ascii="Calibri" w:eastAsia="Calibri" w:hAnsi="Calibri" w:cs="Times New Roman"/>
          <w:i/>
          <w:iCs/>
          <w:sz w:val="28"/>
          <w:szCs w:val="28"/>
        </w:rPr>
        <w:t>, igual que</w:t>
      </w:r>
      <w:r>
        <w:rPr>
          <w:rFonts w:ascii="Calibri" w:eastAsia="Calibri" w:hAnsi="Calibri" w:cs="Times New Roman"/>
          <w:i/>
          <w:iCs/>
          <w:sz w:val="28"/>
          <w:szCs w:val="28"/>
        </w:rPr>
        <w:t xml:space="preserve"> la subyacente </w:t>
      </w:r>
      <w:r w:rsidR="00E62525">
        <w:rPr>
          <w:rFonts w:ascii="Calibri" w:eastAsia="Calibri" w:hAnsi="Calibri" w:cs="Times New Roman"/>
          <w:i/>
          <w:iCs/>
          <w:sz w:val="28"/>
          <w:szCs w:val="28"/>
        </w:rPr>
        <w:t>que alcanza el 2,5%. Amb</w:t>
      </w:r>
      <w:r w:rsidR="005661DC">
        <w:rPr>
          <w:rFonts w:ascii="Calibri" w:eastAsia="Calibri" w:hAnsi="Calibri" w:cs="Times New Roman"/>
          <w:i/>
          <w:iCs/>
          <w:sz w:val="28"/>
          <w:szCs w:val="28"/>
        </w:rPr>
        <w:t>a</w:t>
      </w:r>
      <w:r w:rsidR="00E62525">
        <w:rPr>
          <w:rFonts w:ascii="Calibri" w:eastAsia="Calibri" w:hAnsi="Calibri" w:cs="Times New Roman"/>
          <w:i/>
          <w:iCs/>
          <w:sz w:val="28"/>
          <w:szCs w:val="28"/>
        </w:rPr>
        <w:t>s alcanzan los valores más altos en lo que va de año.</w:t>
      </w:r>
    </w:p>
    <w:p w14:paraId="1B047A0F" w14:textId="77777777" w:rsidR="003E029A" w:rsidRPr="00CC0AA4" w:rsidRDefault="003E029A" w:rsidP="00CC0AA4">
      <w:pPr>
        <w:spacing w:line="240" w:lineRule="atLeast"/>
        <w:jc w:val="both"/>
        <w:rPr>
          <w:rFonts w:ascii="Calibri" w:eastAsia="Calibri" w:hAnsi="Calibri" w:cs="Times New Roman"/>
          <w:color w:val="FF0000"/>
        </w:rPr>
      </w:pPr>
    </w:p>
    <w:p w14:paraId="5EF1AD44" w14:textId="48041586" w:rsidR="000C12AE" w:rsidRPr="00A85A8B" w:rsidRDefault="000C12AE" w:rsidP="003E029A">
      <w:pPr>
        <w:spacing w:line="360" w:lineRule="auto"/>
        <w:jc w:val="both"/>
        <w:rPr>
          <w:rFonts w:ascii="Calibri" w:eastAsia="Calibri" w:hAnsi="Calibri" w:cs="Times New Roman"/>
        </w:rPr>
      </w:pPr>
      <w:r w:rsidRPr="00A85A8B">
        <w:rPr>
          <w:rFonts w:ascii="Calibri" w:eastAsia="Calibri" w:hAnsi="Calibri" w:cs="Times New Roman"/>
        </w:rPr>
        <w:t xml:space="preserve">En la mañana de hoy hemos conocido el indicador adelantado del Índice de Precios de Consumo para el mes de </w:t>
      </w:r>
      <w:r w:rsidR="00E41140">
        <w:rPr>
          <w:rFonts w:ascii="Calibri" w:eastAsia="Calibri" w:hAnsi="Calibri" w:cs="Times New Roman"/>
        </w:rPr>
        <w:t>octubre</w:t>
      </w:r>
      <w:r w:rsidRPr="00A85A8B">
        <w:rPr>
          <w:rFonts w:ascii="Calibri" w:eastAsia="Calibri" w:hAnsi="Calibri" w:cs="Times New Roman"/>
        </w:rPr>
        <w:t xml:space="preserve">, elaborado por el INE. El dato publicado muestra que los precios </w:t>
      </w:r>
      <w:r w:rsidR="00100818">
        <w:rPr>
          <w:rFonts w:ascii="Calibri" w:eastAsia="Calibri" w:hAnsi="Calibri" w:cs="Times New Roman"/>
        </w:rPr>
        <w:t>aumentan un 0,7%</w:t>
      </w:r>
      <w:r w:rsidRPr="00A85A8B">
        <w:rPr>
          <w:rFonts w:ascii="Calibri" w:eastAsia="Calibri" w:hAnsi="Calibri" w:cs="Times New Roman"/>
        </w:rPr>
        <w:t xml:space="preserve"> con respecto al valor alcanzado el mes pasado. De esta forma, la tasa mensual </w:t>
      </w:r>
      <w:r w:rsidR="00100818">
        <w:rPr>
          <w:rFonts w:ascii="Calibri" w:eastAsia="Calibri" w:hAnsi="Calibri" w:cs="Times New Roman"/>
        </w:rPr>
        <w:t>estaría una décima por encima</w:t>
      </w:r>
      <w:r w:rsidR="003E51A4">
        <w:rPr>
          <w:rFonts w:ascii="Calibri" w:eastAsia="Calibri" w:hAnsi="Calibri" w:cs="Times New Roman"/>
        </w:rPr>
        <w:t xml:space="preserve"> </w:t>
      </w:r>
      <w:r w:rsidR="00100818">
        <w:rPr>
          <w:rFonts w:ascii="Calibri" w:eastAsia="Calibri" w:hAnsi="Calibri" w:cs="Times New Roman"/>
        </w:rPr>
        <w:t>del</w:t>
      </w:r>
      <w:r w:rsidR="003E51A4">
        <w:rPr>
          <w:rFonts w:ascii="Calibri" w:eastAsia="Calibri" w:hAnsi="Calibri" w:cs="Times New Roman"/>
        </w:rPr>
        <w:t xml:space="preserve"> dato alcanzado en el mismo mes de 2024 (0,</w:t>
      </w:r>
      <w:r w:rsidR="00100818">
        <w:rPr>
          <w:rFonts w:ascii="Calibri" w:eastAsia="Calibri" w:hAnsi="Calibri" w:cs="Times New Roman"/>
        </w:rPr>
        <w:t>6</w:t>
      </w:r>
      <w:r w:rsidR="003E51A4">
        <w:rPr>
          <w:rFonts w:ascii="Calibri" w:eastAsia="Calibri" w:hAnsi="Calibri" w:cs="Times New Roman"/>
        </w:rPr>
        <w:t>%) e</w:t>
      </w:r>
      <w:r w:rsidR="007077A6">
        <w:rPr>
          <w:rFonts w:ascii="Calibri" w:eastAsia="Calibri" w:hAnsi="Calibri" w:cs="Times New Roman"/>
        </w:rPr>
        <w:t xml:space="preserve"> incrementaría </w:t>
      </w:r>
      <w:r w:rsidR="00100818">
        <w:rPr>
          <w:rFonts w:ascii="Calibri" w:eastAsia="Calibri" w:hAnsi="Calibri" w:cs="Times New Roman"/>
        </w:rPr>
        <w:t>un punto</w:t>
      </w:r>
      <w:r w:rsidRPr="00A85A8B">
        <w:rPr>
          <w:rFonts w:ascii="Calibri" w:eastAsia="Calibri" w:hAnsi="Calibri" w:cs="Times New Roman"/>
        </w:rPr>
        <w:t xml:space="preserve"> con respecto a la registrada en</w:t>
      </w:r>
      <w:r w:rsidR="003E51A4">
        <w:rPr>
          <w:rFonts w:ascii="Calibri" w:eastAsia="Calibri" w:hAnsi="Calibri" w:cs="Times New Roman"/>
        </w:rPr>
        <w:t xml:space="preserve"> el mes de</w:t>
      </w:r>
      <w:r w:rsidRPr="00A85A8B">
        <w:rPr>
          <w:rFonts w:ascii="Calibri" w:eastAsia="Calibri" w:hAnsi="Calibri" w:cs="Times New Roman"/>
        </w:rPr>
        <w:t xml:space="preserve"> </w:t>
      </w:r>
      <w:r w:rsidR="00100818">
        <w:rPr>
          <w:rFonts w:ascii="Calibri" w:eastAsia="Calibri" w:hAnsi="Calibri" w:cs="Times New Roman"/>
        </w:rPr>
        <w:t>septiembre</w:t>
      </w:r>
      <w:r w:rsidRPr="00A85A8B">
        <w:rPr>
          <w:rFonts w:ascii="Calibri" w:eastAsia="Calibri" w:hAnsi="Calibri" w:cs="Times New Roman"/>
        </w:rPr>
        <w:t xml:space="preserve"> (</w:t>
      </w:r>
      <w:r w:rsidR="007077A6">
        <w:rPr>
          <w:rFonts w:ascii="Calibri" w:eastAsia="Calibri" w:hAnsi="Calibri" w:cs="Times New Roman"/>
        </w:rPr>
        <w:t>-0,</w:t>
      </w:r>
      <w:r w:rsidR="00100818">
        <w:rPr>
          <w:rFonts w:ascii="Calibri" w:eastAsia="Calibri" w:hAnsi="Calibri" w:cs="Times New Roman"/>
        </w:rPr>
        <w:t>3</w:t>
      </w:r>
      <w:r w:rsidRPr="00A85A8B">
        <w:rPr>
          <w:rFonts w:ascii="Calibri" w:eastAsia="Calibri" w:hAnsi="Calibri" w:cs="Times New Roman"/>
        </w:rPr>
        <w:t>%)</w:t>
      </w:r>
      <w:r w:rsidR="003E51A4">
        <w:rPr>
          <w:rFonts w:ascii="Calibri" w:eastAsia="Calibri" w:hAnsi="Calibri" w:cs="Times New Roman"/>
        </w:rPr>
        <w:t>.</w:t>
      </w:r>
      <w:r w:rsidRPr="00A85A8B">
        <w:rPr>
          <w:rFonts w:ascii="Calibri" w:eastAsia="Calibri" w:hAnsi="Calibri" w:cs="Times New Roman"/>
        </w:rPr>
        <w:t xml:space="preserve"> </w:t>
      </w:r>
    </w:p>
    <w:p w14:paraId="03C50777" w14:textId="3CB56E6E" w:rsidR="00545A39" w:rsidRPr="00A85A8B" w:rsidRDefault="000C12AE" w:rsidP="003E029A">
      <w:pPr>
        <w:spacing w:line="360" w:lineRule="auto"/>
        <w:jc w:val="both"/>
        <w:rPr>
          <w:rFonts w:ascii="Calibri" w:eastAsia="Calibri" w:hAnsi="Calibri" w:cs="Times New Roman"/>
        </w:rPr>
      </w:pPr>
      <w:r w:rsidRPr="00A85A8B">
        <w:rPr>
          <w:rFonts w:ascii="Calibri" w:eastAsia="Calibri" w:hAnsi="Calibri" w:cs="Times New Roman"/>
        </w:rPr>
        <w:t xml:space="preserve">De confirmarse estos datos a mediados del próximo mes de </w:t>
      </w:r>
      <w:r w:rsidR="00E41140">
        <w:rPr>
          <w:rFonts w:ascii="Calibri" w:eastAsia="Calibri" w:hAnsi="Calibri" w:cs="Times New Roman"/>
        </w:rPr>
        <w:t>noviembre</w:t>
      </w:r>
      <w:r w:rsidRPr="00A85A8B">
        <w:rPr>
          <w:rFonts w:ascii="Calibri" w:eastAsia="Calibri" w:hAnsi="Calibri" w:cs="Times New Roman"/>
        </w:rPr>
        <w:t xml:space="preserve">, la tasa interanual de inflación </w:t>
      </w:r>
      <w:r w:rsidR="00AD5A1C">
        <w:rPr>
          <w:rFonts w:ascii="Calibri" w:eastAsia="Calibri" w:hAnsi="Calibri" w:cs="Times New Roman"/>
        </w:rPr>
        <w:t>se incrementaría una décima hasta el</w:t>
      </w:r>
      <w:r w:rsidR="00AC4E8C">
        <w:rPr>
          <w:rFonts w:ascii="Calibri" w:eastAsia="Calibri" w:hAnsi="Calibri" w:cs="Times New Roman"/>
        </w:rPr>
        <w:t xml:space="preserve"> </w:t>
      </w:r>
      <w:r w:rsidR="00AD5A1C">
        <w:rPr>
          <w:rFonts w:ascii="Calibri" w:eastAsia="Calibri" w:hAnsi="Calibri" w:cs="Times New Roman"/>
        </w:rPr>
        <w:t>3,1</w:t>
      </w:r>
      <w:r w:rsidRPr="00A85A8B">
        <w:rPr>
          <w:rFonts w:ascii="Calibri" w:eastAsia="Calibri" w:hAnsi="Calibri" w:cs="Times New Roman"/>
        </w:rPr>
        <w:t xml:space="preserve">%, </w:t>
      </w:r>
      <w:r w:rsidR="00A61A5A">
        <w:rPr>
          <w:rFonts w:ascii="Calibri" w:eastAsia="Calibri" w:hAnsi="Calibri" w:cs="Times New Roman"/>
        </w:rPr>
        <w:t>con respecto al pasado mes de septiembre</w:t>
      </w:r>
      <w:r w:rsidRPr="00A85A8B">
        <w:rPr>
          <w:rFonts w:ascii="Calibri" w:eastAsia="Calibri" w:hAnsi="Calibri" w:cs="Times New Roman"/>
        </w:rPr>
        <w:t xml:space="preserve">. Con ello, la brecha con la inflación subyacente </w:t>
      </w:r>
      <w:r w:rsidR="00AC4E8C">
        <w:rPr>
          <w:rFonts w:ascii="Calibri" w:eastAsia="Calibri" w:hAnsi="Calibri" w:cs="Times New Roman"/>
        </w:rPr>
        <w:t xml:space="preserve">se </w:t>
      </w:r>
      <w:r w:rsidR="00A61A5A">
        <w:rPr>
          <w:rFonts w:ascii="Calibri" w:eastAsia="Calibri" w:hAnsi="Calibri" w:cs="Times New Roman"/>
        </w:rPr>
        <w:t>mantiene en 6 décimas</w:t>
      </w:r>
      <w:r w:rsidRPr="00A85A8B">
        <w:rPr>
          <w:rFonts w:ascii="Calibri" w:eastAsia="Calibri" w:hAnsi="Calibri" w:cs="Times New Roman"/>
        </w:rPr>
        <w:t>, tras elevarse ésta al 2,</w:t>
      </w:r>
      <w:r w:rsidR="00A61A5A">
        <w:rPr>
          <w:rFonts w:ascii="Calibri" w:eastAsia="Calibri" w:hAnsi="Calibri" w:cs="Times New Roman"/>
        </w:rPr>
        <w:t>5</w:t>
      </w:r>
      <w:r w:rsidRPr="00A85A8B">
        <w:rPr>
          <w:rFonts w:ascii="Calibri" w:eastAsia="Calibri" w:hAnsi="Calibri" w:cs="Times New Roman"/>
        </w:rPr>
        <w:t>% frente al 2</w:t>
      </w:r>
      <w:r w:rsidR="00AC4E8C">
        <w:rPr>
          <w:rFonts w:ascii="Calibri" w:eastAsia="Calibri" w:hAnsi="Calibri" w:cs="Times New Roman"/>
        </w:rPr>
        <w:t>,</w:t>
      </w:r>
      <w:r w:rsidR="00A61A5A">
        <w:rPr>
          <w:rFonts w:ascii="Calibri" w:eastAsia="Calibri" w:hAnsi="Calibri" w:cs="Times New Roman"/>
        </w:rPr>
        <w:t>4</w:t>
      </w:r>
      <w:r w:rsidRPr="00A85A8B">
        <w:rPr>
          <w:rFonts w:ascii="Calibri" w:eastAsia="Calibri" w:hAnsi="Calibri" w:cs="Times New Roman"/>
        </w:rPr>
        <w:t>% en que se situó</w:t>
      </w:r>
      <w:r w:rsidR="003E029A" w:rsidRPr="00A85A8B">
        <w:rPr>
          <w:rFonts w:ascii="Calibri" w:eastAsia="Calibri" w:hAnsi="Calibri" w:cs="Times New Roman"/>
        </w:rPr>
        <w:t xml:space="preserve"> el</w:t>
      </w:r>
      <w:r w:rsidR="00FF7CD2">
        <w:rPr>
          <w:rFonts w:ascii="Calibri" w:eastAsia="Calibri" w:hAnsi="Calibri" w:cs="Times New Roman"/>
        </w:rPr>
        <w:t xml:space="preserve"> </w:t>
      </w:r>
      <w:r w:rsidR="003E029A" w:rsidRPr="00A85A8B">
        <w:rPr>
          <w:rFonts w:ascii="Calibri" w:eastAsia="Calibri" w:hAnsi="Calibri" w:cs="Times New Roman"/>
        </w:rPr>
        <w:t>mes pasado</w:t>
      </w:r>
      <w:r w:rsidR="00A61A5A">
        <w:rPr>
          <w:rFonts w:ascii="Calibri" w:eastAsia="Calibri" w:hAnsi="Calibri" w:cs="Times New Roman"/>
        </w:rPr>
        <w:t xml:space="preserve"> e ir acompañada por el incremento </w:t>
      </w:r>
      <w:r w:rsidR="00EE6E67">
        <w:rPr>
          <w:rFonts w:ascii="Calibri" w:eastAsia="Calibri" w:hAnsi="Calibri" w:cs="Times New Roman"/>
        </w:rPr>
        <w:t>en la misma medida</w:t>
      </w:r>
      <w:r w:rsidR="00A61A5A">
        <w:rPr>
          <w:rFonts w:ascii="Calibri" w:eastAsia="Calibri" w:hAnsi="Calibri" w:cs="Times New Roman"/>
        </w:rPr>
        <w:t xml:space="preserve"> de la tasa interanual general.</w:t>
      </w:r>
    </w:p>
    <w:p w14:paraId="4A3BD5BF" w14:textId="4A78F6BB" w:rsidR="003E029A" w:rsidRDefault="005112C5" w:rsidP="00A85A8B">
      <w:pPr>
        <w:spacing w:line="240" w:lineRule="auto"/>
        <w:jc w:val="both"/>
        <w:rPr>
          <w:rFonts w:ascii="Calibri" w:eastAsia="Calibri" w:hAnsi="Calibri" w:cs="Times New Roman"/>
          <w:sz w:val="24"/>
          <w:szCs w:val="24"/>
        </w:rPr>
      </w:pPr>
      <w:r>
        <w:rPr>
          <w:rFonts w:ascii="Calibri" w:eastAsia="Calibri" w:hAnsi="Calibri" w:cs="Times New Roman"/>
          <w:noProof/>
          <w:sz w:val="24"/>
          <w:szCs w:val="24"/>
        </w:rPr>
        <w:drawing>
          <wp:inline distT="0" distB="0" distL="0" distR="0" wp14:anchorId="2E1C1666" wp14:editId="2351884D">
            <wp:extent cx="6362170" cy="3745745"/>
            <wp:effectExtent l="0" t="0" r="635" b="7620"/>
            <wp:docPr id="180922142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384531" cy="3758910"/>
                    </a:xfrm>
                    <a:prstGeom prst="rect">
                      <a:avLst/>
                    </a:prstGeom>
                    <a:noFill/>
                  </pic:spPr>
                </pic:pic>
              </a:graphicData>
            </a:graphic>
          </wp:inline>
        </w:drawing>
      </w:r>
    </w:p>
    <w:p w14:paraId="1A6E1AE5" w14:textId="34FCBB8F" w:rsidR="00E41140" w:rsidRDefault="00A85A8B" w:rsidP="005112C5">
      <w:pPr>
        <w:spacing w:line="240" w:lineRule="auto"/>
        <w:jc w:val="both"/>
        <w:rPr>
          <w:rFonts w:ascii="Calibri" w:eastAsia="Calibri" w:hAnsi="Calibri" w:cs="Times New Roman"/>
          <w:i/>
          <w:iCs/>
          <w:sz w:val="16"/>
          <w:szCs w:val="16"/>
        </w:rPr>
      </w:pPr>
      <w:r w:rsidRPr="00A85A8B">
        <w:rPr>
          <w:rFonts w:ascii="Calibri" w:eastAsia="Calibri" w:hAnsi="Calibri" w:cs="Times New Roman"/>
          <w:i/>
          <w:iCs/>
          <w:sz w:val="16"/>
          <w:szCs w:val="16"/>
        </w:rPr>
        <w:t>Fuente: INE</w:t>
      </w:r>
      <w:r>
        <w:rPr>
          <w:rFonts w:ascii="Calibri" w:eastAsia="Calibri" w:hAnsi="Calibri" w:cs="Times New Roman"/>
          <w:i/>
          <w:iCs/>
          <w:sz w:val="16"/>
          <w:szCs w:val="16"/>
        </w:rPr>
        <w:t>. Elaboración propia</w:t>
      </w:r>
    </w:p>
    <w:p w14:paraId="01C45DAD" w14:textId="61BDDD11" w:rsidR="00CC0AA4" w:rsidRPr="000956DD" w:rsidRDefault="003E029A" w:rsidP="00164FC4">
      <w:pPr>
        <w:spacing w:line="360" w:lineRule="auto"/>
        <w:jc w:val="both"/>
        <w:rPr>
          <w:rFonts w:ascii="Calibri" w:eastAsia="Calibri" w:hAnsi="Calibri" w:cs="Times New Roman"/>
          <w:i/>
          <w:iCs/>
          <w:sz w:val="16"/>
          <w:szCs w:val="16"/>
        </w:rPr>
      </w:pPr>
      <w:r w:rsidRPr="00427E42">
        <w:rPr>
          <w:rFonts w:ascii="Calibri" w:eastAsia="Calibri" w:hAnsi="Calibri" w:cs="Times New Roman"/>
        </w:rPr>
        <w:lastRenderedPageBreak/>
        <w:t xml:space="preserve">El mes de </w:t>
      </w:r>
      <w:r w:rsidR="00E41140">
        <w:rPr>
          <w:rFonts w:ascii="Calibri" w:eastAsia="Calibri" w:hAnsi="Calibri" w:cs="Times New Roman"/>
        </w:rPr>
        <w:t>octubre</w:t>
      </w:r>
      <w:r w:rsidRPr="00427E42">
        <w:rPr>
          <w:rFonts w:ascii="Calibri" w:eastAsia="Calibri" w:hAnsi="Calibri" w:cs="Times New Roman"/>
        </w:rPr>
        <w:t>, como se puede observar en el primer gráfico, es un mes dado a registrar</w:t>
      </w:r>
      <w:r w:rsidR="00FF7CD2">
        <w:rPr>
          <w:rFonts w:ascii="Calibri" w:eastAsia="Calibri" w:hAnsi="Calibri" w:cs="Times New Roman"/>
        </w:rPr>
        <w:t>, por lo general,</w:t>
      </w:r>
      <w:r w:rsidRPr="00427E42">
        <w:rPr>
          <w:rFonts w:ascii="Calibri" w:eastAsia="Calibri" w:hAnsi="Calibri" w:cs="Times New Roman"/>
        </w:rPr>
        <w:t xml:space="preserve"> </w:t>
      </w:r>
      <w:r w:rsidR="00FF7CD2">
        <w:rPr>
          <w:rFonts w:ascii="Calibri" w:eastAsia="Calibri" w:hAnsi="Calibri" w:cs="Times New Roman"/>
        </w:rPr>
        <w:t>aumentos</w:t>
      </w:r>
      <w:r w:rsidRPr="00427E42">
        <w:rPr>
          <w:rFonts w:ascii="Calibri" w:eastAsia="Calibri" w:hAnsi="Calibri" w:cs="Times New Roman"/>
        </w:rPr>
        <w:t xml:space="preserve"> en el nivel general de precios</w:t>
      </w:r>
      <w:r w:rsidR="00706A37">
        <w:rPr>
          <w:rFonts w:ascii="Calibri" w:eastAsia="Calibri" w:hAnsi="Calibri" w:cs="Times New Roman"/>
        </w:rPr>
        <w:t xml:space="preserve">, siendo el más acentuado el del año 2021, </w:t>
      </w:r>
      <w:r w:rsidR="008A79DD">
        <w:rPr>
          <w:rFonts w:ascii="Calibri" w:eastAsia="Calibri" w:hAnsi="Calibri" w:cs="Times New Roman"/>
        </w:rPr>
        <w:t xml:space="preserve">año </w:t>
      </w:r>
      <w:r w:rsidR="00706A37">
        <w:rPr>
          <w:rFonts w:ascii="Calibri" w:eastAsia="Calibri" w:hAnsi="Calibri" w:cs="Times New Roman"/>
        </w:rPr>
        <w:t>de recuperación tras la pandemia</w:t>
      </w:r>
      <w:r w:rsidRPr="00427E42">
        <w:rPr>
          <w:rFonts w:ascii="Calibri" w:eastAsia="Calibri" w:hAnsi="Calibri" w:cs="Times New Roman"/>
        </w:rPr>
        <w:t xml:space="preserve">. </w:t>
      </w:r>
      <w:r w:rsidR="00706A37">
        <w:rPr>
          <w:rFonts w:ascii="Calibri" w:eastAsia="Calibri" w:hAnsi="Calibri" w:cs="Times New Roman"/>
        </w:rPr>
        <w:t xml:space="preserve">La media de subida de la tasa de inflación mensual entre los años 2011 y 2024 es del 0,8%, </w:t>
      </w:r>
      <w:r w:rsidR="00706A37" w:rsidRPr="000956DD">
        <w:rPr>
          <w:rFonts w:ascii="Calibri" w:eastAsia="Calibri" w:hAnsi="Calibri" w:cs="Times New Roman"/>
        </w:rPr>
        <w:t xml:space="preserve">estando la de este mes de octubre </w:t>
      </w:r>
      <w:r w:rsidR="00EE6E67">
        <w:rPr>
          <w:rFonts w:ascii="Calibri" w:eastAsia="Calibri" w:hAnsi="Calibri" w:cs="Times New Roman"/>
        </w:rPr>
        <w:t>en la línea</w:t>
      </w:r>
      <w:r w:rsidR="00706A37" w:rsidRPr="000956DD">
        <w:rPr>
          <w:rFonts w:ascii="Calibri" w:eastAsia="Calibri" w:hAnsi="Calibri" w:cs="Times New Roman"/>
        </w:rPr>
        <w:t xml:space="preserve"> de la media indicada.</w:t>
      </w:r>
    </w:p>
    <w:p w14:paraId="3DEF3547" w14:textId="65534C31" w:rsidR="003E029A" w:rsidRDefault="00A67799" w:rsidP="00A85A8B">
      <w:pPr>
        <w:spacing w:line="240" w:lineRule="auto"/>
        <w:jc w:val="both"/>
        <w:rPr>
          <w:rFonts w:ascii="Calibri" w:eastAsia="Calibri" w:hAnsi="Calibri" w:cs="Times New Roman"/>
          <w:sz w:val="24"/>
          <w:szCs w:val="24"/>
        </w:rPr>
      </w:pPr>
      <w:r>
        <w:rPr>
          <w:rFonts w:ascii="Calibri" w:eastAsia="Calibri" w:hAnsi="Calibri" w:cs="Times New Roman"/>
          <w:noProof/>
          <w:sz w:val="24"/>
          <w:szCs w:val="24"/>
        </w:rPr>
        <w:drawing>
          <wp:inline distT="0" distB="0" distL="0" distR="0" wp14:anchorId="19B42992" wp14:editId="33F9F3E5">
            <wp:extent cx="6352525" cy="3483177"/>
            <wp:effectExtent l="0" t="0" r="0" b="3175"/>
            <wp:docPr id="31435700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391962" cy="3504801"/>
                    </a:xfrm>
                    <a:prstGeom prst="rect">
                      <a:avLst/>
                    </a:prstGeom>
                    <a:noFill/>
                  </pic:spPr>
                </pic:pic>
              </a:graphicData>
            </a:graphic>
          </wp:inline>
        </w:drawing>
      </w:r>
    </w:p>
    <w:p w14:paraId="2B1D7376" w14:textId="46E3D2DE" w:rsidR="00A85A8B" w:rsidRDefault="00A85A8B" w:rsidP="00A85A8B">
      <w:pPr>
        <w:spacing w:line="240" w:lineRule="auto"/>
        <w:jc w:val="both"/>
        <w:rPr>
          <w:rFonts w:ascii="Calibri" w:eastAsia="Calibri" w:hAnsi="Calibri" w:cs="Times New Roman"/>
          <w:i/>
          <w:iCs/>
          <w:sz w:val="16"/>
          <w:szCs w:val="16"/>
        </w:rPr>
      </w:pPr>
      <w:r w:rsidRPr="00A85A8B">
        <w:rPr>
          <w:rFonts w:ascii="Calibri" w:eastAsia="Calibri" w:hAnsi="Calibri" w:cs="Times New Roman"/>
          <w:i/>
          <w:iCs/>
          <w:sz w:val="16"/>
          <w:szCs w:val="16"/>
        </w:rPr>
        <w:t>Fuente: INE. Elaboración propia</w:t>
      </w:r>
    </w:p>
    <w:p w14:paraId="28075BEA" w14:textId="77777777" w:rsidR="00A85A8B" w:rsidRPr="00A85A8B" w:rsidRDefault="00A85A8B" w:rsidP="00A85A8B">
      <w:pPr>
        <w:spacing w:line="240" w:lineRule="auto"/>
        <w:jc w:val="both"/>
        <w:rPr>
          <w:rFonts w:ascii="Calibri" w:eastAsia="Calibri" w:hAnsi="Calibri" w:cs="Times New Roman"/>
          <w:i/>
          <w:iCs/>
          <w:sz w:val="16"/>
          <w:szCs w:val="16"/>
        </w:rPr>
      </w:pPr>
    </w:p>
    <w:p w14:paraId="2B9A27F1" w14:textId="4E064C9E" w:rsidR="003E029A" w:rsidRDefault="0050042B" w:rsidP="003E029A">
      <w:pPr>
        <w:spacing w:line="360" w:lineRule="auto"/>
        <w:jc w:val="both"/>
        <w:rPr>
          <w:rFonts w:ascii="Calibri" w:eastAsia="Calibri" w:hAnsi="Calibri" w:cs="Times New Roman"/>
        </w:rPr>
      </w:pPr>
      <w:r w:rsidRPr="00427E42">
        <w:rPr>
          <w:rFonts w:ascii="Calibri" w:eastAsia="Calibri" w:hAnsi="Calibri" w:cs="Times New Roman"/>
        </w:rPr>
        <w:t xml:space="preserve">Según los datos adelantados hoy, </w:t>
      </w:r>
      <w:r w:rsidR="00253610">
        <w:rPr>
          <w:rFonts w:ascii="Calibri" w:eastAsia="Calibri" w:hAnsi="Calibri" w:cs="Times New Roman"/>
        </w:rPr>
        <w:t>vuelve a acelerar</w:t>
      </w:r>
      <w:r w:rsidR="00547AC6">
        <w:rPr>
          <w:rFonts w:ascii="Calibri" w:eastAsia="Calibri" w:hAnsi="Calibri" w:cs="Times New Roman"/>
        </w:rPr>
        <w:t xml:space="preserve"> su ritmo de crecimiento, tras</w:t>
      </w:r>
      <w:r w:rsidR="00253610">
        <w:rPr>
          <w:rFonts w:ascii="Calibri" w:eastAsia="Calibri" w:hAnsi="Calibri" w:cs="Times New Roman"/>
        </w:rPr>
        <w:t xml:space="preserve"> la estabilidad en los meses de julio y agosto, encadenando</w:t>
      </w:r>
      <w:r w:rsidR="00547AC6">
        <w:rPr>
          <w:rFonts w:ascii="Calibri" w:eastAsia="Calibri" w:hAnsi="Calibri" w:cs="Times New Roman"/>
        </w:rPr>
        <w:t xml:space="preserve"> dos meses consecutivos de subida</w:t>
      </w:r>
      <w:r w:rsidR="00253610">
        <w:rPr>
          <w:rFonts w:ascii="Calibri" w:eastAsia="Calibri" w:hAnsi="Calibri" w:cs="Times New Roman"/>
        </w:rPr>
        <w:t>. Con este dato adelantado del IPC</w:t>
      </w:r>
      <w:r w:rsidR="00547AC6">
        <w:rPr>
          <w:rFonts w:ascii="Calibri" w:eastAsia="Calibri" w:hAnsi="Calibri" w:cs="Times New Roman"/>
        </w:rPr>
        <w:t>,</w:t>
      </w:r>
      <w:r w:rsidRPr="00427E42">
        <w:rPr>
          <w:rFonts w:ascii="Calibri" w:eastAsia="Calibri" w:hAnsi="Calibri" w:cs="Times New Roman"/>
        </w:rPr>
        <w:t xml:space="preserve"> encadenamos ya </w:t>
      </w:r>
      <w:r w:rsidR="00547AC6">
        <w:rPr>
          <w:rFonts w:ascii="Calibri" w:eastAsia="Calibri" w:hAnsi="Calibri" w:cs="Times New Roman"/>
        </w:rPr>
        <w:t>1</w:t>
      </w:r>
      <w:r w:rsidR="00253610">
        <w:rPr>
          <w:rFonts w:ascii="Calibri" w:eastAsia="Calibri" w:hAnsi="Calibri" w:cs="Times New Roman"/>
        </w:rPr>
        <w:t>2</w:t>
      </w:r>
      <w:r w:rsidRPr="00427E42">
        <w:rPr>
          <w:rFonts w:ascii="Calibri" w:eastAsia="Calibri" w:hAnsi="Calibri" w:cs="Times New Roman"/>
        </w:rPr>
        <w:t xml:space="preserve"> meses consecutivos sin ser capaces de situarnos por debajo del objetivo de control de precios del BCE (2%).</w:t>
      </w:r>
      <w:r w:rsidR="00E3654E">
        <w:rPr>
          <w:rFonts w:ascii="Calibri" w:eastAsia="Calibri" w:hAnsi="Calibri" w:cs="Times New Roman"/>
        </w:rPr>
        <w:t xml:space="preserve"> Además, la tasa de inflación interanual es 1,3 puntos superior a la alcanzada el mismo mes del pasado año (1,8%).</w:t>
      </w:r>
    </w:p>
    <w:p w14:paraId="54D97677" w14:textId="2E929E86" w:rsidR="0050042B" w:rsidRPr="00213A50" w:rsidRDefault="00213A50" w:rsidP="003E029A">
      <w:pPr>
        <w:spacing w:line="360" w:lineRule="auto"/>
        <w:jc w:val="both"/>
        <w:rPr>
          <w:rFonts w:ascii="Calibri" w:eastAsia="Calibri" w:hAnsi="Calibri" w:cs="Times New Roman"/>
        </w:rPr>
      </w:pPr>
      <w:r w:rsidRPr="00213A50">
        <w:rPr>
          <w:rFonts w:ascii="Calibri" w:eastAsia="Calibri" w:hAnsi="Calibri" w:cs="Times New Roman"/>
        </w:rPr>
        <w:t>Esta evolución es debida, principalmente, a que los precios de la </w:t>
      </w:r>
      <w:r w:rsidRPr="00213A50">
        <w:rPr>
          <w:rFonts w:ascii="Calibri" w:eastAsia="Calibri" w:hAnsi="Calibri" w:cs="Times New Roman"/>
          <w:i/>
          <w:iCs/>
        </w:rPr>
        <w:t>electricidad</w:t>
      </w:r>
      <w:r w:rsidRPr="00213A50">
        <w:rPr>
          <w:rFonts w:ascii="Calibri" w:eastAsia="Calibri" w:hAnsi="Calibri" w:cs="Times New Roman"/>
        </w:rPr>
        <w:t> suben más que en octubre de 2024, y al aumento de los precios del </w:t>
      </w:r>
      <w:r w:rsidRPr="00213A50">
        <w:rPr>
          <w:rFonts w:ascii="Calibri" w:eastAsia="Calibri" w:hAnsi="Calibri" w:cs="Times New Roman"/>
          <w:i/>
          <w:iCs/>
        </w:rPr>
        <w:t>transporte aéreo y por ferrocarril</w:t>
      </w:r>
      <w:r w:rsidRPr="00213A50">
        <w:rPr>
          <w:rFonts w:ascii="Calibri" w:eastAsia="Calibri" w:hAnsi="Calibri" w:cs="Times New Roman"/>
        </w:rPr>
        <w:t>. Estos incrementos se compensan, en parte, por la disminución de los precios de las </w:t>
      </w:r>
      <w:r w:rsidRPr="00213A50">
        <w:rPr>
          <w:rFonts w:ascii="Calibri" w:eastAsia="Calibri" w:hAnsi="Calibri" w:cs="Times New Roman"/>
          <w:i/>
          <w:iCs/>
        </w:rPr>
        <w:t>gasolinas</w:t>
      </w:r>
      <w:r w:rsidRPr="00213A50">
        <w:rPr>
          <w:rFonts w:ascii="Calibri" w:eastAsia="Calibri" w:hAnsi="Calibri" w:cs="Times New Roman"/>
        </w:rPr>
        <w:t>.</w:t>
      </w:r>
      <w:r w:rsidR="00547AC6" w:rsidRPr="00213A50">
        <w:rPr>
          <w:rFonts w:ascii="Calibri" w:eastAsia="Calibri" w:hAnsi="Calibri" w:cs="Times New Roman"/>
        </w:rPr>
        <w:t xml:space="preserve"> </w:t>
      </w:r>
    </w:p>
    <w:p w14:paraId="67611227" w14:textId="77777777" w:rsidR="00E3654E" w:rsidRDefault="00B07671" w:rsidP="005E0CAE">
      <w:pPr>
        <w:spacing w:line="360" w:lineRule="auto"/>
        <w:jc w:val="both"/>
        <w:rPr>
          <w:rFonts w:ascii="Calibri" w:eastAsia="Calibri" w:hAnsi="Calibri" w:cs="Times New Roman"/>
        </w:rPr>
      </w:pPr>
      <w:r w:rsidRPr="00B07671">
        <w:rPr>
          <w:rFonts w:ascii="Calibri" w:eastAsia="Calibri" w:hAnsi="Calibri" w:cs="Times New Roman"/>
        </w:rPr>
        <w:t>Destacar la subida de una décima de la inflación subyacente (2,</w:t>
      </w:r>
      <w:r w:rsidR="00F80EE3">
        <w:rPr>
          <w:rFonts w:ascii="Calibri" w:eastAsia="Calibri" w:hAnsi="Calibri" w:cs="Times New Roman"/>
        </w:rPr>
        <w:t>5</w:t>
      </w:r>
      <w:r w:rsidRPr="00B07671">
        <w:rPr>
          <w:rFonts w:ascii="Calibri" w:eastAsia="Calibri" w:hAnsi="Calibri" w:cs="Times New Roman"/>
        </w:rPr>
        <w:t xml:space="preserve">%) respecto al pasado mes de </w:t>
      </w:r>
      <w:r w:rsidR="005E0B54">
        <w:rPr>
          <w:rFonts w:ascii="Calibri" w:eastAsia="Calibri" w:hAnsi="Calibri" w:cs="Times New Roman"/>
        </w:rPr>
        <w:t>septiembre</w:t>
      </w:r>
      <w:r w:rsidRPr="00B07671">
        <w:rPr>
          <w:rFonts w:ascii="Calibri" w:eastAsia="Calibri" w:hAnsi="Calibri" w:cs="Times New Roman"/>
        </w:rPr>
        <w:t xml:space="preserve"> (2,</w:t>
      </w:r>
      <w:r w:rsidR="00F80EE3">
        <w:rPr>
          <w:rFonts w:ascii="Calibri" w:eastAsia="Calibri" w:hAnsi="Calibri" w:cs="Times New Roman"/>
        </w:rPr>
        <w:t>4</w:t>
      </w:r>
      <w:r w:rsidRPr="00B07671">
        <w:rPr>
          <w:rFonts w:ascii="Calibri" w:eastAsia="Calibri" w:hAnsi="Calibri" w:cs="Times New Roman"/>
        </w:rPr>
        <w:t xml:space="preserve">%), </w:t>
      </w:r>
      <w:r w:rsidR="00F80EE3">
        <w:rPr>
          <w:rFonts w:ascii="Calibri" w:eastAsia="Calibri" w:hAnsi="Calibri" w:cs="Times New Roman"/>
        </w:rPr>
        <w:t>manteniendo la distancia con la tasa general que también sube en la misma medida</w:t>
      </w:r>
      <w:r w:rsidRPr="00B07671">
        <w:rPr>
          <w:rFonts w:ascii="Calibri" w:eastAsia="Calibri" w:hAnsi="Calibri" w:cs="Times New Roman"/>
        </w:rPr>
        <w:t>. Esto indica que, aparte del comportamiento inestable de los carburantes y la energía, sigue habiendo tensiones en la inflación sobre algunos productos y alimentos básicos.</w:t>
      </w:r>
    </w:p>
    <w:p w14:paraId="6741F294" w14:textId="039788A0" w:rsidR="005E0CAE" w:rsidRDefault="00F44A80" w:rsidP="005E0CAE">
      <w:pPr>
        <w:spacing w:line="360" w:lineRule="auto"/>
        <w:jc w:val="both"/>
        <w:rPr>
          <w:rFonts w:ascii="Calibri" w:eastAsia="Calibri" w:hAnsi="Calibri" w:cs="Times New Roman"/>
        </w:rPr>
      </w:pPr>
      <w:r>
        <w:rPr>
          <w:rFonts w:ascii="Calibri" w:eastAsia="Calibri" w:hAnsi="Calibri" w:cs="Times New Roman"/>
        </w:rPr>
        <w:lastRenderedPageBreak/>
        <w:t xml:space="preserve">Vistos los datos adelantados del IPC para </w:t>
      </w:r>
      <w:r w:rsidR="008A79DD">
        <w:rPr>
          <w:rFonts w:ascii="Calibri" w:eastAsia="Calibri" w:hAnsi="Calibri" w:cs="Times New Roman"/>
        </w:rPr>
        <w:t xml:space="preserve">el mes de </w:t>
      </w:r>
      <w:r>
        <w:rPr>
          <w:rFonts w:ascii="Calibri" w:eastAsia="Calibri" w:hAnsi="Calibri" w:cs="Times New Roman"/>
        </w:rPr>
        <w:t xml:space="preserve">octubre, desde UGT Andalucía </w:t>
      </w:r>
      <w:r w:rsidR="008A79DD">
        <w:rPr>
          <w:rFonts w:ascii="Calibri" w:eastAsia="Calibri" w:hAnsi="Calibri" w:cs="Times New Roman"/>
        </w:rPr>
        <w:t>reclamamos</w:t>
      </w:r>
      <w:r>
        <w:rPr>
          <w:rFonts w:ascii="Calibri" w:eastAsia="Calibri" w:hAnsi="Calibri" w:cs="Times New Roman"/>
        </w:rPr>
        <w:t xml:space="preserve"> que </w:t>
      </w:r>
      <w:r w:rsidRPr="00516070">
        <w:rPr>
          <w:rFonts w:ascii="Calibri" w:eastAsia="Calibri" w:hAnsi="Calibri" w:cs="Times New Roman"/>
          <w:b/>
          <w:bCs/>
        </w:rPr>
        <w:t>los salarios deben seguir recuperando poder adquisitivo y</w:t>
      </w:r>
      <w:r w:rsidR="008A79DD">
        <w:rPr>
          <w:rFonts w:ascii="Calibri" w:eastAsia="Calibri" w:hAnsi="Calibri" w:cs="Times New Roman"/>
          <w:b/>
          <w:bCs/>
        </w:rPr>
        <w:t xml:space="preserve"> también, </w:t>
      </w:r>
      <w:r w:rsidRPr="00516070">
        <w:rPr>
          <w:rFonts w:ascii="Calibri" w:eastAsia="Calibri" w:hAnsi="Calibri" w:cs="Times New Roman"/>
          <w:b/>
          <w:bCs/>
        </w:rPr>
        <w:t>extender la introducción de las cláusulas de garantía salarial en los convenios colectivos</w:t>
      </w:r>
      <w:r w:rsidR="001E037F">
        <w:rPr>
          <w:rFonts w:ascii="Calibri" w:eastAsia="Calibri" w:hAnsi="Calibri" w:cs="Times New Roman"/>
        </w:rPr>
        <w:t xml:space="preserve"> (actualmente solo el 31,91% de los convenios colectivos vigentes en Andalucía tienen esta cláusula)</w:t>
      </w:r>
      <w:r>
        <w:rPr>
          <w:rFonts w:ascii="Calibri" w:eastAsia="Calibri" w:hAnsi="Calibri" w:cs="Times New Roman"/>
        </w:rPr>
        <w:t>, más aún cuando, en nuestra región, el Incremento Salarial Ponderado de los convenios colectivos vigentes hasta el 30 de septiembre (último dato facilitado por el Consejo Andaluz de Relaciones Laborales), se sitúa en el 2,86%</w:t>
      </w:r>
      <w:r w:rsidR="005E0CAE">
        <w:rPr>
          <w:rFonts w:ascii="Calibri" w:eastAsia="Calibri" w:hAnsi="Calibri" w:cs="Times New Roman"/>
        </w:rPr>
        <w:t xml:space="preserve">, que, aunque está por encima de la inflación media hasta ese mes (2,6%), </w:t>
      </w:r>
      <w:r w:rsidR="005E0CAE" w:rsidRPr="005E0CAE">
        <w:rPr>
          <w:rFonts w:ascii="Calibri" w:eastAsia="Calibri" w:hAnsi="Calibri" w:cs="Times New Roman"/>
        </w:rPr>
        <w:t>sigue estando por debajo del criterio recogido en el V AENC (2022-2025) que establecía un incremento salarial del 3% con un 1% adicional si la inflación rebasa estos incrementos.</w:t>
      </w:r>
    </w:p>
    <w:p w14:paraId="3A186A1A" w14:textId="2CD8C62F" w:rsidR="00F039DB" w:rsidRDefault="008C4AEC" w:rsidP="00F039DB">
      <w:pPr>
        <w:spacing w:line="360" w:lineRule="auto"/>
        <w:jc w:val="both"/>
        <w:rPr>
          <w:rFonts w:ascii="Calibri" w:eastAsia="Calibri" w:hAnsi="Calibri" w:cs="Times New Roman"/>
        </w:rPr>
      </w:pPr>
      <w:r>
        <w:rPr>
          <w:rFonts w:ascii="Calibri" w:eastAsia="Calibri" w:hAnsi="Calibri" w:cs="Times New Roman"/>
        </w:rPr>
        <w:t xml:space="preserve">Nos preocupa sobremanera, </w:t>
      </w:r>
      <w:r w:rsidRPr="00516070">
        <w:rPr>
          <w:rFonts w:ascii="Calibri" w:eastAsia="Calibri" w:hAnsi="Calibri" w:cs="Times New Roman"/>
          <w:b/>
          <w:bCs/>
        </w:rPr>
        <w:t>el exagerado aumento de los precios del mercado inmobiliario</w:t>
      </w:r>
      <w:r w:rsidR="00D35B94">
        <w:rPr>
          <w:rFonts w:ascii="Calibri" w:eastAsia="Calibri" w:hAnsi="Calibri" w:cs="Times New Roman"/>
        </w:rPr>
        <w:t xml:space="preserve">, dejando sin efecto, cualquier mejora salarial alcanzada. </w:t>
      </w:r>
      <w:r w:rsidR="00516070" w:rsidRPr="002809E4">
        <w:rPr>
          <w:rFonts w:ascii="Calibri" w:eastAsia="Calibri" w:hAnsi="Calibri" w:cs="Times New Roman"/>
          <w:b/>
          <w:bCs/>
        </w:rPr>
        <w:t>L</w:t>
      </w:r>
      <w:r w:rsidR="00BE7C1D" w:rsidRPr="002809E4">
        <w:rPr>
          <w:rFonts w:ascii="Calibri" w:eastAsia="Calibri" w:hAnsi="Calibri" w:cs="Times New Roman"/>
          <w:b/>
          <w:bCs/>
        </w:rPr>
        <w:t xml:space="preserve">os salarios han dejado de ser un aval para poder acceder a </w:t>
      </w:r>
      <w:r w:rsidR="00516070" w:rsidRPr="002809E4">
        <w:rPr>
          <w:rFonts w:ascii="Calibri" w:eastAsia="Calibri" w:hAnsi="Calibri" w:cs="Times New Roman"/>
          <w:b/>
          <w:bCs/>
        </w:rPr>
        <w:t>una vivienda.</w:t>
      </w:r>
      <w:r w:rsidR="00516070">
        <w:rPr>
          <w:rFonts w:ascii="Calibri" w:eastAsia="Calibri" w:hAnsi="Calibri" w:cs="Times New Roman"/>
        </w:rPr>
        <w:t xml:space="preserve"> </w:t>
      </w:r>
      <w:r w:rsidR="00D35B94">
        <w:rPr>
          <w:rFonts w:ascii="Calibri" w:eastAsia="Calibri" w:hAnsi="Calibri" w:cs="Times New Roman"/>
        </w:rPr>
        <w:t xml:space="preserve"> </w:t>
      </w:r>
      <w:r w:rsidR="00516070">
        <w:rPr>
          <w:rFonts w:ascii="Calibri" w:eastAsia="Calibri" w:hAnsi="Calibri" w:cs="Times New Roman"/>
        </w:rPr>
        <w:t>T</w:t>
      </w:r>
      <w:r w:rsidR="00D35B94">
        <w:rPr>
          <w:rFonts w:ascii="Calibri" w:eastAsia="Calibri" w:hAnsi="Calibri" w:cs="Times New Roman"/>
        </w:rPr>
        <w:t>anto es así que, e</w:t>
      </w:r>
      <w:r w:rsidR="00F039DB" w:rsidRPr="00F039DB">
        <w:rPr>
          <w:rFonts w:ascii="Calibri" w:eastAsia="Calibri" w:hAnsi="Calibri" w:cs="Times New Roman"/>
        </w:rPr>
        <w:t>n la actualidad, una persona trabajadora necesita más de 52 años de salario neto (dedicando el 40% del mismo) para comprar una vivienda media. En el caso del alquiler</w:t>
      </w:r>
      <w:r w:rsidR="00516070">
        <w:rPr>
          <w:rFonts w:ascii="Calibri" w:eastAsia="Calibri" w:hAnsi="Calibri" w:cs="Times New Roman"/>
        </w:rPr>
        <w:t xml:space="preserve"> es, aun, incluso peor.</w:t>
      </w:r>
    </w:p>
    <w:p w14:paraId="5718452D" w14:textId="7B089A41" w:rsidR="00A60F5E" w:rsidRPr="002809E4" w:rsidRDefault="00EF1513" w:rsidP="00A60F5E">
      <w:pPr>
        <w:spacing w:line="360" w:lineRule="auto"/>
        <w:jc w:val="both"/>
        <w:rPr>
          <w:rFonts w:ascii="Calibri" w:eastAsia="Calibri" w:hAnsi="Calibri" w:cs="Times New Roman"/>
          <w:b/>
          <w:bCs/>
        </w:rPr>
      </w:pPr>
      <w:r>
        <w:rPr>
          <w:rFonts w:ascii="Calibri" w:eastAsia="Calibri" w:hAnsi="Calibri" w:cs="Times New Roman"/>
        </w:rPr>
        <w:t xml:space="preserve">Desde UGT Andalucía reclamamos la aplicación </w:t>
      </w:r>
      <w:r w:rsidR="00944DCF">
        <w:rPr>
          <w:rFonts w:ascii="Calibri" w:eastAsia="Calibri" w:hAnsi="Calibri" w:cs="Times New Roman"/>
        </w:rPr>
        <w:t xml:space="preserve">efectiva </w:t>
      </w:r>
      <w:r>
        <w:rPr>
          <w:rFonts w:ascii="Calibri" w:eastAsia="Calibri" w:hAnsi="Calibri" w:cs="Times New Roman"/>
        </w:rPr>
        <w:t xml:space="preserve">de la Ley de Vivienda, la ampliación sostenida del parque público de vivienda social y la aplicación efectiva de medidas que limiten </w:t>
      </w:r>
      <w:r w:rsidR="00944DCF">
        <w:rPr>
          <w:rFonts w:ascii="Calibri" w:eastAsia="Calibri" w:hAnsi="Calibri" w:cs="Times New Roman"/>
        </w:rPr>
        <w:t xml:space="preserve">los precios del </w:t>
      </w:r>
      <w:r>
        <w:rPr>
          <w:rFonts w:ascii="Calibri" w:eastAsia="Calibri" w:hAnsi="Calibri" w:cs="Times New Roman"/>
        </w:rPr>
        <w:t xml:space="preserve">alquiler </w:t>
      </w:r>
      <w:r w:rsidR="00944DCF">
        <w:rPr>
          <w:rFonts w:ascii="Calibri" w:eastAsia="Calibri" w:hAnsi="Calibri" w:cs="Times New Roman"/>
        </w:rPr>
        <w:t>en zonas tensionadas</w:t>
      </w:r>
      <w:r w:rsidR="00A60F5E">
        <w:rPr>
          <w:rFonts w:ascii="Calibri" w:eastAsia="Calibri" w:hAnsi="Calibri" w:cs="Times New Roman"/>
        </w:rPr>
        <w:t xml:space="preserve"> </w:t>
      </w:r>
      <w:r w:rsidR="00A60F5E" w:rsidRPr="002809E4">
        <w:rPr>
          <w:rFonts w:ascii="Calibri" w:eastAsia="Calibri" w:hAnsi="Calibri" w:cs="Times New Roman"/>
          <w:b/>
          <w:bCs/>
        </w:rPr>
        <w:t>con el fin de garantizar un techo y un estilo de vida digno y con futuro para la población trabajadora</w:t>
      </w:r>
      <w:r w:rsidR="001B741F" w:rsidRPr="002809E4">
        <w:rPr>
          <w:rFonts w:ascii="Calibri" w:eastAsia="Calibri" w:hAnsi="Calibri" w:cs="Times New Roman"/>
          <w:b/>
          <w:bCs/>
        </w:rPr>
        <w:t xml:space="preserve"> andaluza.</w:t>
      </w:r>
      <w:r w:rsidR="00A60F5E" w:rsidRPr="002809E4">
        <w:rPr>
          <w:rFonts w:ascii="Calibri" w:eastAsia="Calibri" w:hAnsi="Calibri" w:cs="Times New Roman"/>
          <w:b/>
          <w:bCs/>
        </w:rPr>
        <w:t xml:space="preserve"> </w:t>
      </w:r>
    </w:p>
    <w:p w14:paraId="62F40F99" w14:textId="5922B2C7" w:rsidR="00EF1513" w:rsidRDefault="00EF1513" w:rsidP="00F039DB">
      <w:pPr>
        <w:spacing w:line="360" w:lineRule="auto"/>
        <w:jc w:val="both"/>
        <w:rPr>
          <w:rFonts w:ascii="Calibri" w:eastAsia="Calibri" w:hAnsi="Calibri" w:cs="Times New Roman"/>
        </w:rPr>
      </w:pPr>
    </w:p>
    <w:p w14:paraId="5A561EE0" w14:textId="77777777" w:rsidR="00EF1513" w:rsidRPr="00F039DB" w:rsidRDefault="00EF1513" w:rsidP="00F039DB">
      <w:pPr>
        <w:spacing w:line="360" w:lineRule="auto"/>
        <w:jc w:val="both"/>
        <w:rPr>
          <w:rFonts w:ascii="Calibri" w:eastAsia="Calibri" w:hAnsi="Calibri" w:cs="Times New Roman"/>
        </w:rPr>
      </w:pPr>
    </w:p>
    <w:p w14:paraId="687A381E" w14:textId="3A1CB896" w:rsidR="003D6422" w:rsidRPr="00AF3D60" w:rsidRDefault="003D6422" w:rsidP="00FD0F06">
      <w:pPr>
        <w:spacing w:line="360" w:lineRule="auto"/>
        <w:jc w:val="both"/>
        <w:rPr>
          <w:rFonts w:ascii="Calibri" w:eastAsia="Calibri" w:hAnsi="Calibri" w:cs="Times New Roman"/>
        </w:rPr>
      </w:pPr>
    </w:p>
    <w:sectPr w:rsidR="003D6422" w:rsidRPr="00AF3D60" w:rsidSect="00C63659">
      <w:headerReference w:type="default" r:id="rId11"/>
      <w:footerReference w:type="default" r:id="rId12"/>
      <w:pgSz w:w="11906" w:h="16838"/>
      <w:pgMar w:top="2269" w:right="992" w:bottom="1418" w:left="851" w:header="1140" w:footer="709" w:gutter="0"/>
      <w:pgBorders w:display="notFirstPage" w:offsetFrom="page">
        <w:top w:val="single" w:sz="4" w:space="24" w:color="DD492B"/>
        <w:left w:val="single" w:sz="4" w:space="24" w:color="DD492B"/>
        <w:bottom w:val="single" w:sz="4" w:space="24" w:color="DD492B"/>
        <w:right w:val="single" w:sz="4" w:space="24" w:color="DD492B"/>
      </w:pgBorder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856AC4" w14:textId="77777777" w:rsidR="002C0C7D" w:rsidRDefault="002C0C7D" w:rsidP="00B24EA3">
      <w:pPr>
        <w:spacing w:after="0" w:line="240" w:lineRule="auto"/>
      </w:pPr>
      <w:r>
        <w:separator/>
      </w:r>
    </w:p>
  </w:endnote>
  <w:endnote w:type="continuationSeparator" w:id="0">
    <w:p w14:paraId="6A450D85" w14:textId="77777777" w:rsidR="002C0C7D" w:rsidRDefault="002C0C7D" w:rsidP="00B24E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ndara">
    <w:panose1 w:val="020E0502030303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42175152"/>
      <w:docPartObj>
        <w:docPartGallery w:val="Page Numbers (Bottom of Page)"/>
        <w:docPartUnique/>
      </w:docPartObj>
    </w:sdtPr>
    <w:sdtContent>
      <w:p w14:paraId="18AD82D6" w14:textId="18BD22A5" w:rsidR="00B24EA3" w:rsidRDefault="00B24EA3">
        <w:pPr>
          <w:pStyle w:val="Piedepgina"/>
          <w:jc w:val="right"/>
        </w:pPr>
        <w:r>
          <w:fldChar w:fldCharType="begin"/>
        </w:r>
        <w:r>
          <w:instrText>PAGE   \* MERGEFORMAT</w:instrText>
        </w:r>
        <w:r>
          <w:fldChar w:fldCharType="separate"/>
        </w:r>
        <w:r>
          <w:t>2</w:t>
        </w:r>
        <w:r>
          <w:fldChar w:fldCharType="end"/>
        </w:r>
      </w:p>
    </w:sdtContent>
  </w:sdt>
  <w:p w14:paraId="1933E15B" w14:textId="77777777" w:rsidR="00B24EA3" w:rsidRDefault="00B24EA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E1596A" w14:textId="77777777" w:rsidR="002C0C7D" w:rsidRDefault="002C0C7D" w:rsidP="00B24EA3">
      <w:pPr>
        <w:spacing w:after="0" w:line="240" w:lineRule="auto"/>
      </w:pPr>
      <w:r>
        <w:separator/>
      </w:r>
    </w:p>
  </w:footnote>
  <w:footnote w:type="continuationSeparator" w:id="0">
    <w:p w14:paraId="6FA58C01" w14:textId="77777777" w:rsidR="002C0C7D" w:rsidRDefault="002C0C7D" w:rsidP="00B24E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81CA6C" w14:textId="0FDD19C2" w:rsidR="00B24EA3" w:rsidRDefault="003D6422" w:rsidP="008760C4">
    <w:pPr>
      <w:pStyle w:val="Encabezado"/>
    </w:pPr>
    <w:r>
      <w:rPr>
        <w:noProof/>
      </w:rPr>
      <w:drawing>
        <wp:anchor distT="0" distB="0" distL="114300" distR="114300" simplePos="0" relativeHeight="251659264" behindDoc="0" locked="0" layoutInCell="1" allowOverlap="1" wp14:anchorId="444250DB" wp14:editId="7F3E58BF">
          <wp:simplePos x="0" y="0"/>
          <wp:positionH relativeFrom="margin">
            <wp:posOffset>5047924</wp:posOffset>
          </wp:positionH>
          <wp:positionV relativeFrom="paragraph">
            <wp:posOffset>-386818</wp:posOffset>
          </wp:positionV>
          <wp:extent cx="1589188" cy="655138"/>
          <wp:effectExtent l="0" t="0" r="0" b="0"/>
          <wp:wrapNone/>
          <wp:docPr id="312960202" name="Imagen 312960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9188" cy="655138"/>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A7181E"/>
    <w:multiLevelType w:val="hybridMultilevel"/>
    <w:tmpl w:val="74BCD30C"/>
    <w:lvl w:ilvl="0" w:tplc="0C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E7432AA"/>
    <w:multiLevelType w:val="hybridMultilevel"/>
    <w:tmpl w:val="A8509F82"/>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 w15:restartNumberingAfterBreak="0">
    <w:nsid w:val="22E857DD"/>
    <w:multiLevelType w:val="hybridMultilevel"/>
    <w:tmpl w:val="80A478D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3EDE7A88"/>
    <w:multiLevelType w:val="hybridMultilevel"/>
    <w:tmpl w:val="8DC6631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3FFA23A6"/>
    <w:multiLevelType w:val="hybridMultilevel"/>
    <w:tmpl w:val="A81A84D8"/>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5" w15:restartNumberingAfterBreak="0">
    <w:nsid w:val="45464FE5"/>
    <w:multiLevelType w:val="hybridMultilevel"/>
    <w:tmpl w:val="B0F05E82"/>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6" w15:restartNumberingAfterBreak="0">
    <w:nsid w:val="52C05511"/>
    <w:multiLevelType w:val="hybridMultilevel"/>
    <w:tmpl w:val="EABA6280"/>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618F7100"/>
    <w:multiLevelType w:val="hybridMultilevel"/>
    <w:tmpl w:val="DAAEDD9E"/>
    <w:lvl w:ilvl="0" w:tplc="0C0A0001">
      <w:start w:val="1"/>
      <w:numFmt w:val="bullet"/>
      <w:lvlText w:val=""/>
      <w:lvlJc w:val="left"/>
      <w:pPr>
        <w:ind w:left="1080" w:hanging="360"/>
      </w:pPr>
      <w:rPr>
        <w:rFonts w:ascii="Symbol" w:hAnsi="Symbol" w:hint="default"/>
      </w:rPr>
    </w:lvl>
    <w:lvl w:ilvl="1" w:tplc="0C0A0003">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8" w15:restartNumberingAfterBreak="0">
    <w:nsid w:val="7D2A7510"/>
    <w:multiLevelType w:val="hybridMultilevel"/>
    <w:tmpl w:val="4F7478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7EC4736E"/>
    <w:multiLevelType w:val="hybridMultilevel"/>
    <w:tmpl w:val="10C83D6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086072997">
    <w:abstractNumId w:val="9"/>
  </w:num>
  <w:num w:numId="2" w16cid:durableId="288055223">
    <w:abstractNumId w:val="5"/>
  </w:num>
  <w:num w:numId="3" w16cid:durableId="1338727470">
    <w:abstractNumId w:val="2"/>
  </w:num>
  <w:num w:numId="4" w16cid:durableId="1193960594">
    <w:abstractNumId w:val="1"/>
  </w:num>
  <w:num w:numId="5" w16cid:durableId="810368616">
    <w:abstractNumId w:val="7"/>
  </w:num>
  <w:num w:numId="6" w16cid:durableId="881746688">
    <w:abstractNumId w:val="4"/>
  </w:num>
  <w:num w:numId="7" w16cid:durableId="122816473">
    <w:abstractNumId w:val="6"/>
  </w:num>
  <w:num w:numId="8" w16cid:durableId="1439713247">
    <w:abstractNumId w:val="8"/>
  </w:num>
  <w:num w:numId="9" w16cid:durableId="1740205047">
    <w:abstractNumId w:val="3"/>
  </w:num>
  <w:num w:numId="10" w16cid:durableId="16326377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15D0"/>
    <w:rsid w:val="00000963"/>
    <w:rsid w:val="00002A4B"/>
    <w:rsid w:val="00003E39"/>
    <w:rsid w:val="00005D11"/>
    <w:rsid w:val="00007630"/>
    <w:rsid w:val="00010DBA"/>
    <w:rsid w:val="00013EC5"/>
    <w:rsid w:val="00014556"/>
    <w:rsid w:val="00015F36"/>
    <w:rsid w:val="0003188F"/>
    <w:rsid w:val="0003611E"/>
    <w:rsid w:val="00040842"/>
    <w:rsid w:val="00043713"/>
    <w:rsid w:val="00044007"/>
    <w:rsid w:val="000464E2"/>
    <w:rsid w:val="00047939"/>
    <w:rsid w:val="0005614B"/>
    <w:rsid w:val="00062576"/>
    <w:rsid w:val="00064317"/>
    <w:rsid w:val="00064914"/>
    <w:rsid w:val="00082038"/>
    <w:rsid w:val="00083F1B"/>
    <w:rsid w:val="000857EF"/>
    <w:rsid w:val="0008776F"/>
    <w:rsid w:val="00091586"/>
    <w:rsid w:val="0009194F"/>
    <w:rsid w:val="0009287D"/>
    <w:rsid w:val="000956DD"/>
    <w:rsid w:val="00096ED3"/>
    <w:rsid w:val="000977E1"/>
    <w:rsid w:val="000A492A"/>
    <w:rsid w:val="000A6FBC"/>
    <w:rsid w:val="000B2E77"/>
    <w:rsid w:val="000B665A"/>
    <w:rsid w:val="000B7E8C"/>
    <w:rsid w:val="000C0DBD"/>
    <w:rsid w:val="000C12AE"/>
    <w:rsid w:val="000C64E8"/>
    <w:rsid w:val="000C688C"/>
    <w:rsid w:val="000C7B0D"/>
    <w:rsid w:val="000D1A5A"/>
    <w:rsid w:val="000D2F8D"/>
    <w:rsid w:val="000D469E"/>
    <w:rsid w:val="000D616A"/>
    <w:rsid w:val="000D6529"/>
    <w:rsid w:val="000D7E48"/>
    <w:rsid w:val="000E474D"/>
    <w:rsid w:val="000F08F5"/>
    <w:rsid w:val="000F6151"/>
    <w:rsid w:val="00100456"/>
    <w:rsid w:val="00100818"/>
    <w:rsid w:val="00111DDA"/>
    <w:rsid w:val="00112652"/>
    <w:rsid w:val="001131E5"/>
    <w:rsid w:val="00114E13"/>
    <w:rsid w:val="0011595D"/>
    <w:rsid w:val="001164F1"/>
    <w:rsid w:val="00117CD0"/>
    <w:rsid w:val="00120AA6"/>
    <w:rsid w:val="0012196F"/>
    <w:rsid w:val="00124571"/>
    <w:rsid w:val="00126C3C"/>
    <w:rsid w:val="001275C2"/>
    <w:rsid w:val="00130619"/>
    <w:rsid w:val="0013227F"/>
    <w:rsid w:val="001327B6"/>
    <w:rsid w:val="00136009"/>
    <w:rsid w:val="0014261A"/>
    <w:rsid w:val="001503F2"/>
    <w:rsid w:val="001552F7"/>
    <w:rsid w:val="00155D64"/>
    <w:rsid w:val="00161D27"/>
    <w:rsid w:val="00162825"/>
    <w:rsid w:val="00164FC4"/>
    <w:rsid w:val="00165AFA"/>
    <w:rsid w:val="00167F05"/>
    <w:rsid w:val="00167F12"/>
    <w:rsid w:val="00170C11"/>
    <w:rsid w:val="00173265"/>
    <w:rsid w:val="00173D54"/>
    <w:rsid w:val="00180317"/>
    <w:rsid w:val="00182E08"/>
    <w:rsid w:val="00182EE2"/>
    <w:rsid w:val="00193121"/>
    <w:rsid w:val="00193369"/>
    <w:rsid w:val="001A3213"/>
    <w:rsid w:val="001A57E0"/>
    <w:rsid w:val="001A59FD"/>
    <w:rsid w:val="001A76DA"/>
    <w:rsid w:val="001A7A7A"/>
    <w:rsid w:val="001B07A5"/>
    <w:rsid w:val="001B14BD"/>
    <w:rsid w:val="001B30C2"/>
    <w:rsid w:val="001B7328"/>
    <w:rsid w:val="001B741F"/>
    <w:rsid w:val="001B7615"/>
    <w:rsid w:val="001C42D9"/>
    <w:rsid w:val="001C4B1D"/>
    <w:rsid w:val="001C6B92"/>
    <w:rsid w:val="001C763A"/>
    <w:rsid w:val="001D04C0"/>
    <w:rsid w:val="001D502C"/>
    <w:rsid w:val="001D51A7"/>
    <w:rsid w:val="001D657B"/>
    <w:rsid w:val="001D777B"/>
    <w:rsid w:val="001D7EF4"/>
    <w:rsid w:val="001E037F"/>
    <w:rsid w:val="001E523A"/>
    <w:rsid w:val="001F1C42"/>
    <w:rsid w:val="001F238E"/>
    <w:rsid w:val="001F4E85"/>
    <w:rsid w:val="001F6D97"/>
    <w:rsid w:val="00200A53"/>
    <w:rsid w:val="00206297"/>
    <w:rsid w:val="00210542"/>
    <w:rsid w:val="002129B1"/>
    <w:rsid w:val="002131D5"/>
    <w:rsid w:val="00213A50"/>
    <w:rsid w:val="00215D25"/>
    <w:rsid w:val="002215FF"/>
    <w:rsid w:val="0022324D"/>
    <w:rsid w:val="00231576"/>
    <w:rsid w:val="00237DB3"/>
    <w:rsid w:val="00241627"/>
    <w:rsid w:val="00242620"/>
    <w:rsid w:val="002451F8"/>
    <w:rsid w:val="00245575"/>
    <w:rsid w:val="00247C6C"/>
    <w:rsid w:val="00251A86"/>
    <w:rsid w:val="00253610"/>
    <w:rsid w:val="00253AF1"/>
    <w:rsid w:val="00255E03"/>
    <w:rsid w:val="00256C7D"/>
    <w:rsid w:val="0026072C"/>
    <w:rsid w:val="00260CA8"/>
    <w:rsid w:val="00263700"/>
    <w:rsid w:val="00263B42"/>
    <w:rsid w:val="00267653"/>
    <w:rsid w:val="002724D7"/>
    <w:rsid w:val="00273C3B"/>
    <w:rsid w:val="0027775D"/>
    <w:rsid w:val="00280980"/>
    <w:rsid w:val="002809E4"/>
    <w:rsid w:val="00287329"/>
    <w:rsid w:val="00287F9B"/>
    <w:rsid w:val="0029217F"/>
    <w:rsid w:val="00295243"/>
    <w:rsid w:val="002968E6"/>
    <w:rsid w:val="002A0FE0"/>
    <w:rsid w:val="002A1913"/>
    <w:rsid w:val="002A39ED"/>
    <w:rsid w:val="002A4EAC"/>
    <w:rsid w:val="002A6409"/>
    <w:rsid w:val="002A757E"/>
    <w:rsid w:val="002B07A3"/>
    <w:rsid w:val="002B4649"/>
    <w:rsid w:val="002C0C0C"/>
    <w:rsid w:val="002C0C7D"/>
    <w:rsid w:val="002C3662"/>
    <w:rsid w:val="002C7AC0"/>
    <w:rsid w:val="002D1616"/>
    <w:rsid w:val="002D3AC1"/>
    <w:rsid w:val="002E1BAF"/>
    <w:rsid w:val="002E1D08"/>
    <w:rsid w:val="002E2367"/>
    <w:rsid w:val="002E4C11"/>
    <w:rsid w:val="002E4D10"/>
    <w:rsid w:val="002F0477"/>
    <w:rsid w:val="002F0E1F"/>
    <w:rsid w:val="002F1A81"/>
    <w:rsid w:val="002F2930"/>
    <w:rsid w:val="002F7884"/>
    <w:rsid w:val="00303A19"/>
    <w:rsid w:val="00304AE4"/>
    <w:rsid w:val="0030631C"/>
    <w:rsid w:val="00312586"/>
    <w:rsid w:val="00313E50"/>
    <w:rsid w:val="00320063"/>
    <w:rsid w:val="00327D00"/>
    <w:rsid w:val="003410AC"/>
    <w:rsid w:val="00341E1D"/>
    <w:rsid w:val="00351C91"/>
    <w:rsid w:val="00352030"/>
    <w:rsid w:val="0035226E"/>
    <w:rsid w:val="003529CE"/>
    <w:rsid w:val="0035672B"/>
    <w:rsid w:val="003615A4"/>
    <w:rsid w:val="00362CFA"/>
    <w:rsid w:val="00362EAC"/>
    <w:rsid w:val="003635D8"/>
    <w:rsid w:val="00366DD9"/>
    <w:rsid w:val="003719CE"/>
    <w:rsid w:val="00371ECC"/>
    <w:rsid w:val="003736E6"/>
    <w:rsid w:val="003775BB"/>
    <w:rsid w:val="00391DF3"/>
    <w:rsid w:val="00395041"/>
    <w:rsid w:val="00395B79"/>
    <w:rsid w:val="003A23DA"/>
    <w:rsid w:val="003A2A94"/>
    <w:rsid w:val="003A2FA6"/>
    <w:rsid w:val="003A4D85"/>
    <w:rsid w:val="003A55B3"/>
    <w:rsid w:val="003B4B42"/>
    <w:rsid w:val="003C2E45"/>
    <w:rsid w:val="003C4178"/>
    <w:rsid w:val="003C56BF"/>
    <w:rsid w:val="003C5EAF"/>
    <w:rsid w:val="003C631B"/>
    <w:rsid w:val="003C6C04"/>
    <w:rsid w:val="003C6F72"/>
    <w:rsid w:val="003C6FB7"/>
    <w:rsid w:val="003C7644"/>
    <w:rsid w:val="003D210D"/>
    <w:rsid w:val="003D636E"/>
    <w:rsid w:val="003D6422"/>
    <w:rsid w:val="003E029A"/>
    <w:rsid w:val="003E51A4"/>
    <w:rsid w:val="003E5CB5"/>
    <w:rsid w:val="003E5CBB"/>
    <w:rsid w:val="003E692C"/>
    <w:rsid w:val="003F061A"/>
    <w:rsid w:val="003F2ED8"/>
    <w:rsid w:val="003F7318"/>
    <w:rsid w:val="00405C9F"/>
    <w:rsid w:val="00406DD6"/>
    <w:rsid w:val="00407608"/>
    <w:rsid w:val="00413E7C"/>
    <w:rsid w:val="0042260A"/>
    <w:rsid w:val="0042379F"/>
    <w:rsid w:val="00423A6E"/>
    <w:rsid w:val="00427E42"/>
    <w:rsid w:val="004301CE"/>
    <w:rsid w:val="00433C7F"/>
    <w:rsid w:val="0043435D"/>
    <w:rsid w:val="00435633"/>
    <w:rsid w:val="004365EA"/>
    <w:rsid w:val="004379C0"/>
    <w:rsid w:val="00441B23"/>
    <w:rsid w:val="00441D81"/>
    <w:rsid w:val="004476D6"/>
    <w:rsid w:val="0045051B"/>
    <w:rsid w:val="00451E7D"/>
    <w:rsid w:val="0045277C"/>
    <w:rsid w:val="00452B37"/>
    <w:rsid w:val="00453EB8"/>
    <w:rsid w:val="00456478"/>
    <w:rsid w:val="00461DCD"/>
    <w:rsid w:val="004635AB"/>
    <w:rsid w:val="0046727D"/>
    <w:rsid w:val="00467996"/>
    <w:rsid w:val="00467F3F"/>
    <w:rsid w:val="0047550B"/>
    <w:rsid w:val="0047608F"/>
    <w:rsid w:val="00477A32"/>
    <w:rsid w:val="0048354E"/>
    <w:rsid w:val="00486F9E"/>
    <w:rsid w:val="00490276"/>
    <w:rsid w:val="00490858"/>
    <w:rsid w:val="0049146D"/>
    <w:rsid w:val="00494339"/>
    <w:rsid w:val="004946AF"/>
    <w:rsid w:val="00494F21"/>
    <w:rsid w:val="004958D6"/>
    <w:rsid w:val="0049649F"/>
    <w:rsid w:val="00496613"/>
    <w:rsid w:val="004A1CD8"/>
    <w:rsid w:val="004A2CB4"/>
    <w:rsid w:val="004A5E65"/>
    <w:rsid w:val="004B06DB"/>
    <w:rsid w:val="004B5C37"/>
    <w:rsid w:val="004C0074"/>
    <w:rsid w:val="004C350C"/>
    <w:rsid w:val="004D1D72"/>
    <w:rsid w:val="004D45EE"/>
    <w:rsid w:val="004D5A22"/>
    <w:rsid w:val="004D6BAF"/>
    <w:rsid w:val="004E474F"/>
    <w:rsid w:val="004E5B4D"/>
    <w:rsid w:val="004F3C3B"/>
    <w:rsid w:val="004F6267"/>
    <w:rsid w:val="004F6648"/>
    <w:rsid w:val="0050042B"/>
    <w:rsid w:val="005017A8"/>
    <w:rsid w:val="005027FE"/>
    <w:rsid w:val="0050393F"/>
    <w:rsid w:val="00504BA6"/>
    <w:rsid w:val="00504E1A"/>
    <w:rsid w:val="00505820"/>
    <w:rsid w:val="005112C5"/>
    <w:rsid w:val="00511F9A"/>
    <w:rsid w:val="005149A1"/>
    <w:rsid w:val="00514DC4"/>
    <w:rsid w:val="00514FD0"/>
    <w:rsid w:val="00515117"/>
    <w:rsid w:val="00515411"/>
    <w:rsid w:val="00516070"/>
    <w:rsid w:val="00516481"/>
    <w:rsid w:val="00516AAC"/>
    <w:rsid w:val="005228A2"/>
    <w:rsid w:val="00524902"/>
    <w:rsid w:val="00530B48"/>
    <w:rsid w:val="00532456"/>
    <w:rsid w:val="0053564C"/>
    <w:rsid w:val="00535C30"/>
    <w:rsid w:val="0053644D"/>
    <w:rsid w:val="00540898"/>
    <w:rsid w:val="00540B16"/>
    <w:rsid w:val="00541068"/>
    <w:rsid w:val="00541223"/>
    <w:rsid w:val="00541783"/>
    <w:rsid w:val="005429C2"/>
    <w:rsid w:val="00542D37"/>
    <w:rsid w:val="005454AD"/>
    <w:rsid w:val="0054558C"/>
    <w:rsid w:val="00545A39"/>
    <w:rsid w:val="00547AC6"/>
    <w:rsid w:val="005518DA"/>
    <w:rsid w:val="00552F6C"/>
    <w:rsid w:val="0055406A"/>
    <w:rsid w:val="00555207"/>
    <w:rsid w:val="00556A83"/>
    <w:rsid w:val="00565C68"/>
    <w:rsid w:val="005661DC"/>
    <w:rsid w:val="00571DA8"/>
    <w:rsid w:val="00575CB1"/>
    <w:rsid w:val="00581FE2"/>
    <w:rsid w:val="00585795"/>
    <w:rsid w:val="00585C60"/>
    <w:rsid w:val="00587634"/>
    <w:rsid w:val="00587D6E"/>
    <w:rsid w:val="00590D6F"/>
    <w:rsid w:val="00591049"/>
    <w:rsid w:val="005952C6"/>
    <w:rsid w:val="005957C7"/>
    <w:rsid w:val="00597F09"/>
    <w:rsid w:val="005A0A54"/>
    <w:rsid w:val="005A1637"/>
    <w:rsid w:val="005A311A"/>
    <w:rsid w:val="005A493B"/>
    <w:rsid w:val="005A626E"/>
    <w:rsid w:val="005A7B98"/>
    <w:rsid w:val="005B0A6C"/>
    <w:rsid w:val="005B0DD9"/>
    <w:rsid w:val="005B2E28"/>
    <w:rsid w:val="005B4843"/>
    <w:rsid w:val="005B5E9C"/>
    <w:rsid w:val="005B642A"/>
    <w:rsid w:val="005B68BE"/>
    <w:rsid w:val="005C0AEE"/>
    <w:rsid w:val="005C3699"/>
    <w:rsid w:val="005C3FBB"/>
    <w:rsid w:val="005C5865"/>
    <w:rsid w:val="005D49F7"/>
    <w:rsid w:val="005D63B3"/>
    <w:rsid w:val="005D6474"/>
    <w:rsid w:val="005D6994"/>
    <w:rsid w:val="005E0B54"/>
    <w:rsid w:val="005E0CAE"/>
    <w:rsid w:val="005E42CD"/>
    <w:rsid w:val="005E787F"/>
    <w:rsid w:val="005F288E"/>
    <w:rsid w:val="005F57DF"/>
    <w:rsid w:val="005F5D2E"/>
    <w:rsid w:val="005F60E0"/>
    <w:rsid w:val="005F63E8"/>
    <w:rsid w:val="005F6E41"/>
    <w:rsid w:val="005F7A11"/>
    <w:rsid w:val="00601C4B"/>
    <w:rsid w:val="0060232E"/>
    <w:rsid w:val="00607AEF"/>
    <w:rsid w:val="00615AAD"/>
    <w:rsid w:val="00616142"/>
    <w:rsid w:val="00616CEF"/>
    <w:rsid w:val="00622B8B"/>
    <w:rsid w:val="00622C05"/>
    <w:rsid w:val="006260CF"/>
    <w:rsid w:val="006325F3"/>
    <w:rsid w:val="00634493"/>
    <w:rsid w:val="006370F9"/>
    <w:rsid w:val="00640A51"/>
    <w:rsid w:val="00650801"/>
    <w:rsid w:val="00650F1F"/>
    <w:rsid w:val="00651047"/>
    <w:rsid w:val="00653CC7"/>
    <w:rsid w:val="006540AD"/>
    <w:rsid w:val="0065544D"/>
    <w:rsid w:val="006564B2"/>
    <w:rsid w:val="00657064"/>
    <w:rsid w:val="0066462E"/>
    <w:rsid w:val="00664AE9"/>
    <w:rsid w:val="00664E9E"/>
    <w:rsid w:val="00665082"/>
    <w:rsid w:val="0066666F"/>
    <w:rsid w:val="006673A9"/>
    <w:rsid w:val="00671A8B"/>
    <w:rsid w:val="00671CFE"/>
    <w:rsid w:val="00674C56"/>
    <w:rsid w:val="006775A5"/>
    <w:rsid w:val="0068391D"/>
    <w:rsid w:val="0068697C"/>
    <w:rsid w:val="006876B0"/>
    <w:rsid w:val="00687BB8"/>
    <w:rsid w:val="00691F02"/>
    <w:rsid w:val="00693D60"/>
    <w:rsid w:val="00695A1D"/>
    <w:rsid w:val="006964F3"/>
    <w:rsid w:val="0069666A"/>
    <w:rsid w:val="0069699A"/>
    <w:rsid w:val="006A1920"/>
    <w:rsid w:val="006A4208"/>
    <w:rsid w:val="006B06C6"/>
    <w:rsid w:val="006B2EDF"/>
    <w:rsid w:val="006B4CD9"/>
    <w:rsid w:val="006B58BC"/>
    <w:rsid w:val="006C532F"/>
    <w:rsid w:val="006C5E34"/>
    <w:rsid w:val="006C74EB"/>
    <w:rsid w:val="006C752E"/>
    <w:rsid w:val="006D1EBB"/>
    <w:rsid w:val="006D3B57"/>
    <w:rsid w:val="006D431D"/>
    <w:rsid w:val="006D45CF"/>
    <w:rsid w:val="006D4FA2"/>
    <w:rsid w:val="006D53B4"/>
    <w:rsid w:val="006D5891"/>
    <w:rsid w:val="006D6350"/>
    <w:rsid w:val="006D6D74"/>
    <w:rsid w:val="006E496F"/>
    <w:rsid w:val="006E51DD"/>
    <w:rsid w:val="006E6952"/>
    <w:rsid w:val="006F3055"/>
    <w:rsid w:val="006F33AD"/>
    <w:rsid w:val="006F6E2C"/>
    <w:rsid w:val="00700F78"/>
    <w:rsid w:val="00706A37"/>
    <w:rsid w:val="007077A6"/>
    <w:rsid w:val="00707E41"/>
    <w:rsid w:val="007134FD"/>
    <w:rsid w:val="00713A07"/>
    <w:rsid w:val="00725AF2"/>
    <w:rsid w:val="00726CD3"/>
    <w:rsid w:val="007278BF"/>
    <w:rsid w:val="00735446"/>
    <w:rsid w:val="0074152D"/>
    <w:rsid w:val="00741C88"/>
    <w:rsid w:val="00746BE5"/>
    <w:rsid w:val="0075450D"/>
    <w:rsid w:val="00760143"/>
    <w:rsid w:val="00764E5F"/>
    <w:rsid w:val="0076557F"/>
    <w:rsid w:val="00765B37"/>
    <w:rsid w:val="00771232"/>
    <w:rsid w:val="00771C17"/>
    <w:rsid w:val="00773161"/>
    <w:rsid w:val="00773BBF"/>
    <w:rsid w:val="00774C5B"/>
    <w:rsid w:val="0078343A"/>
    <w:rsid w:val="007866BC"/>
    <w:rsid w:val="0078703E"/>
    <w:rsid w:val="00790D92"/>
    <w:rsid w:val="007911F0"/>
    <w:rsid w:val="00795D46"/>
    <w:rsid w:val="0079616B"/>
    <w:rsid w:val="007961FB"/>
    <w:rsid w:val="007A0906"/>
    <w:rsid w:val="007A2F39"/>
    <w:rsid w:val="007A31F0"/>
    <w:rsid w:val="007A42B8"/>
    <w:rsid w:val="007A684A"/>
    <w:rsid w:val="007A7A57"/>
    <w:rsid w:val="007B4907"/>
    <w:rsid w:val="007C0BAA"/>
    <w:rsid w:val="007C1644"/>
    <w:rsid w:val="007C2EF5"/>
    <w:rsid w:val="007C5299"/>
    <w:rsid w:val="007C72F4"/>
    <w:rsid w:val="007D4436"/>
    <w:rsid w:val="007D5975"/>
    <w:rsid w:val="007D5F6A"/>
    <w:rsid w:val="007D7A66"/>
    <w:rsid w:val="007E3EF1"/>
    <w:rsid w:val="007E5A98"/>
    <w:rsid w:val="007E6BDC"/>
    <w:rsid w:val="007E7D70"/>
    <w:rsid w:val="007F15D0"/>
    <w:rsid w:val="007F20B6"/>
    <w:rsid w:val="007F3582"/>
    <w:rsid w:val="007F36CA"/>
    <w:rsid w:val="00804FCF"/>
    <w:rsid w:val="00806007"/>
    <w:rsid w:val="0081096A"/>
    <w:rsid w:val="0081446F"/>
    <w:rsid w:val="008179FD"/>
    <w:rsid w:val="00821193"/>
    <w:rsid w:val="008219DA"/>
    <w:rsid w:val="00822D48"/>
    <w:rsid w:val="00827BE0"/>
    <w:rsid w:val="008305AC"/>
    <w:rsid w:val="00834F1A"/>
    <w:rsid w:val="00837578"/>
    <w:rsid w:val="0083781A"/>
    <w:rsid w:val="008408B9"/>
    <w:rsid w:val="008430F6"/>
    <w:rsid w:val="00843591"/>
    <w:rsid w:val="00843C7F"/>
    <w:rsid w:val="00844013"/>
    <w:rsid w:val="00845961"/>
    <w:rsid w:val="00846D20"/>
    <w:rsid w:val="008534F8"/>
    <w:rsid w:val="00855191"/>
    <w:rsid w:val="00855721"/>
    <w:rsid w:val="008558D5"/>
    <w:rsid w:val="008565F7"/>
    <w:rsid w:val="00861DBD"/>
    <w:rsid w:val="00862197"/>
    <w:rsid w:val="0086333A"/>
    <w:rsid w:val="008669DE"/>
    <w:rsid w:val="00873865"/>
    <w:rsid w:val="00874B5E"/>
    <w:rsid w:val="00874F55"/>
    <w:rsid w:val="008760C4"/>
    <w:rsid w:val="00882650"/>
    <w:rsid w:val="0088688D"/>
    <w:rsid w:val="00890C69"/>
    <w:rsid w:val="008924C2"/>
    <w:rsid w:val="008940AD"/>
    <w:rsid w:val="008960DD"/>
    <w:rsid w:val="00897A4E"/>
    <w:rsid w:val="008A3FFA"/>
    <w:rsid w:val="008A79DD"/>
    <w:rsid w:val="008B04D0"/>
    <w:rsid w:val="008B5D45"/>
    <w:rsid w:val="008C33F0"/>
    <w:rsid w:val="008C43CA"/>
    <w:rsid w:val="008C4AEC"/>
    <w:rsid w:val="008D08F1"/>
    <w:rsid w:val="008D1133"/>
    <w:rsid w:val="008D3C9B"/>
    <w:rsid w:val="008D712E"/>
    <w:rsid w:val="008D785B"/>
    <w:rsid w:val="008D788B"/>
    <w:rsid w:val="008E3424"/>
    <w:rsid w:val="008E7A70"/>
    <w:rsid w:val="008F10E9"/>
    <w:rsid w:val="008F14D0"/>
    <w:rsid w:val="008F2B65"/>
    <w:rsid w:val="008F38A2"/>
    <w:rsid w:val="008F3ED0"/>
    <w:rsid w:val="008F4E00"/>
    <w:rsid w:val="008F6270"/>
    <w:rsid w:val="008F7C16"/>
    <w:rsid w:val="0090367B"/>
    <w:rsid w:val="009037B9"/>
    <w:rsid w:val="00911425"/>
    <w:rsid w:val="00912A3E"/>
    <w:rsid w:val="0092361B"/>
    <w:rsid w:val="0092633E"/>
    <w:rsid w:val="009279AE"/>
    <w:rsid w:val="0093133B"/>
    <w:rsid w:val="0093274F"/>
    <w:rsid w:val="00935889"/>
    <w:rsid w:val="00937DB4"/>
    <w:rsid w:val="00937FCD"/>
    <w:rsid w:val="00941507"/>
    <w:rsid w:val="00942B89"/>
    <w:rsid w:val="00944DCF"/>
    <w:rsid w:val="00945477"/>
    <w:rsid w:val="00945888"/>
    <w:rsid w:val="00950FEC"/>
    <w:rsid w:val="009528EC"/>
    <w:rsid w:val="00954C22"/>
    <w:rsid w:val="009563D8"/>
    <w:rsid w:val="00957038"/>
    <w:rsid w:val="00957553"/>
    <w:rsid w:val="009621C3"/>
    <w:rsid w:val="00962F36"/>
    <w:rsid w:val="00962FD8"/>
    <w:rsid w:val="0096308B"/>
    <w:rsid w:val="00964C60"/>
    <w:rsid w:val="009674A9"/>
    <w:rsid w:val="00971E43"/>
    <w:rsid w:val="00972325"/>
    <w:rsid w:val="00973308"/>
    <w:rsid w:val="0098048B"/>
    <w:rsid w:val="00984644"/>
    <w:rsid w:val="00987FCC"/>
    <w:rsid w:val="009906A1"/>
    <w:rsid w:val="009922EE"/>
    <w:rsid w:val="00995AE3"/>
    <w:rsid w:val="00996D20"/>
    <w:rsid w:val="00997692"/>
    <w:rsid w:val="00997CB2"/>
    <w:rsid w:val="00997CD1"/>
    <w:rsid w:val="009A7CE7"/>
    <w:rsid w:val="009B1D72"/>
    <w:rsid w:val="009B3B06"/>
    <w:rsid w:val="009B44A2"/>
    <w:rsid w:val="009B5134"/>
    <w:rsid w:val="009B6A10"/>
    <w:rsid w:val="009B7274"/>
    <w:rsid w:val="009D1479"/>
    <w:rsid w:val="009D48E2"/>
    <w:rsid w:val="009D4C16"/>
    <w:rsid w:val="009D5B74"/>
    <w:rsid w:val="009D5BBE"/>
    <w:rsid w:val="009D7739"/>
    <w:rsid w:val="009E35B0"/>
    <w:rsid w:val="009E5987"/>
    <w:rsid w:val="009E5A46"/>
    <w:rsid w:val="009F00A6"/>
    <w:rsid w:val="00A0380C"/>
    <w:rsid w:val="00A054C9"/>
    <w:rsid w:val="00A06172"/>
    <w:rsid w:val="00A06518"/>
    <w:rsid w:val="00A065B1"/>
    <w:rsid w:val="00A0721D"/>
    <w:rsid w:val="00A13CF7"/>
    <w:rsid w:val="00A1637C"/>
    <w:rsid w:val="00A16BFA"/>
    <w:rsid w:val="00A205B0"/>
    <w:rsid w:val="00A2709F"/>
    <w:rsid w:val="00A27CC9"/>
    <w:rsid w:val="00A30377"/>
    <w:rsid w:val="00A35A07"/>
    <w:rsid w:val="00A36AD9"/>
    <w:rsid w:val="00A370EB"/>
    <w:rsid w:val="00A41D11"/>
    <w:rsid w:val="00A46BA1"/>
    <w:rsid w:val="00A500EE"/>
    <w:rsid w:val="00A54F29"/>
    <w:rsid w:val="00A55125"/>
    <w:rsid w:val="00A55BDA"/>
    <w:rsid w:val="00A561E5"/>
    <w:rsid w:val="00A5647F"/>
    <w:rsid w:val="00A60857"/>
    <w:rsid w:val="00A60F5E"/>
    <w:rsid w:val="00A61A5A"/>
    <w:rsid w:val="00A64962"/>
    <w:rsid w:val="00A65ADB"/>
    <w:rsid w:val="00A66688"/>
    <w:rsid w:val="00A67799"/>
    <w:rsid w:val="00A76018"/>
    <w:rsid w:val="00A81438"/>
    <w:rsid w:val="00A85A8B"/>
    <w:rsid w:val="00A85B58"/>
    <w:rsid w:val="00A85E90"/>
    <w:rsid w:val="00A92D28"/>
    <w:rsid w:val="00A94658"/>
    <w:rsid w:val="00A968EB"/>
    <w:rsid w:val="00AA479E"/>
    <w:rsid w:val="00AA549E"/>
    <w:rsid w:val="00AA7D80"/>
    <w:rsid w:val="00AB1208"/>
    <w:rsid w:val="00AB2632"/>
    <w:rsid w:val="00AB3F53"/>
    <w:rsid w:val="00AB6FD6"/>
    <w:rsid w:val="00AC4E8C"/>
    <w:rsid w:val="00AC5003"/>
    <w:rsid w:val="00AD4122"/>
    <w:rsid w:val="00AD5A1C"/>
    <w:rsid w:val="00AD7552"/>
    <w:rsid w:val="00AE0958"/>
    <w:rsid w:val="00AE4805"/>
    <w:rsid w:val="00AE4BF7"/>
    <w:rsid w:val="00AE69C5"/>
    <w:rsid w:val="00AF3D60"/>
    <w:rsid w:val="00AF5E04"/>
    <w:rsid w:val="00B008BC"/>
    <w:rsid w:val="00B07671"/>
    <w:rsid w:val="00B07B6D"/>
    <w:rsid w:val="00B1265B"/>
    <w:rsid w:val="00B1700B"/>
    <w:rsid w:val="00B17C4E"/>
    <w:rsid w:val="00B22A44"/>
    <w:rsid w:val="00B249CF"/>
    <w:rsid w:val="00B24C4A"/>
    <w:rsid w:val="00B24EA3"/>
    <w:rsid w:val="00B32D21"/>
    <w:rsid w:val="00B34DCA"/>
    <w:rsid w:val="00B3552E"/>
    <w:rsid w:val="00B35863"/>
    <w:rsid w:val="00B35D17"/>
    <w:rsid w:val="00B3601C"/>
    <w:rsid w:val="00B41E59"/>
    <w:rsid w:val="00B42B54"/>
    <w:rsid w:val="00B46B47"/>
    <w:rsid w:val="00B500B5"/>
    <w:rsid w:val="00B56033"/>
    <w:rsid w:val="00B56342"/>
    <w:rsid w:val="00B6186F"/>
    <w:rsid w:val="00B6244F"/>
    <w:rsid w:val="00B64EE6"/>
    <w:rsid w:val="00B65C80"/>
    <w:rsid w:val="00B713E4"/>
    <w:rsid w:val="00B74116"/>
    <w:rsid w:val="00B75ED8"/>
    <w:rsid w:val="00B803CC"/>
    <w:rsid w:val="00B82F0F"/>
    <w:rsid w:val="00B84B66"/>
    <w:rsid w:val="00B86AF6"/>
    <w:rsid w:val="00B86B33"/>
    <w:rsid w:val="00B903DD"/>
    <w:rsid w:val="00B90D8E"/>
    <w:rsid w:val="00B925EA"/>
    <w:rsid w:val="00B92602"/>
    <w:rsid w:val="00B935AE"/>
    <w:rsid w:val="00B940E8"/>
    <w:rsid w:val="00B979DA"/>
    <w:rsid w:val="00B97CEE"/>
    <w:rsid w:val="00BA0E9B"/>
    <w:rsid w:val="00BA291C"/>
    <w:rsid w:val="00BA3DAF"/>
    <w:rsid w:val="00BA3F87"/>
    <w:rsid w:val="00BB1C33"/>
    <w:rsid w:val="00BB39B6"/>
    <w:rsid w:val="00BB422C"/>
    <w:rsid w:val="00BB483D"/>
    <w:rsid w:val="00BC0D6D"/>
    <w:rsid w:val="00BC387B"/>
    <w:rsid w:val="00BC3E58"/>
    <w:rsid w:val="00BC7EFF"/>
    <w:rsid w:val="00BD2ACC"/>
    <w:rsid w:val="00BD2C1E"/>
    <w:rsid w:val="00BD64D6"/>
    <w:rsid w:val="00BD79B4"/>
    <w:rsid w:val="00BE1C05"/>
    <w:rsid w:val="00BE29F4"/>
    <w:rsid w:val="00BE6861"/>
    <w:rsid w:val="00BE7C1D"/>
    <w:rsid w:val="00BF059C"/>
    <w:rsid w:val="00BF1D0F"/>
    <w:rsid w:val="00BF3A0F"/>
    <w:rsid w:val="00BF401B"/>
    <w:rsid w:val="00BF41B2"/>
    <w:rsid w:val="00BF44D4"/>
    <w:rsid w:val="00BF79D9"/>
    <w:rsid w:val="00BF7B3C"/>
    <w:rsid w:val="00C006DE"/>
    <w:rsid w:val="00C01558"/>
    <w:rsid w:val="00C05161"/>
    <w:rsid w:val="00C06820"/>
    <w:rsid w:val="00C073F0"/>
    <w:rsid w:val="00C07C00"/>
    <w:rsid w:val="00C1425E"/>
    <w:rsid w:val="00C15CFF"/>
    <w:rsid w:val="00C1619D"/>
    <w:rsid w:val="00C213EE"/>
    <w:rsid w:val="00C21690"/>
    <w:rsid w:val="00C22A13"/>
    <w:rsid w:val="00C23A13"/>
    <w:rsid w:val="00C2509C"/>
    <w:rsid w:val="00C32060"/>
    <w:rsid w:val="00C4372E"/>
    <w:rsid w:val="00C47508"/>
    <w:rsid w:val="00C51FA6"/>
    <w:rsid w:val="00C52267"/>
    <w:rsid w:val="00C52404"/>
    <w:rsid w:val="00C55579"/>
    <w:rsid w:val="00C57B44"/>
    <w:rsid w:val="00C622EE"/>
    <w:rsid w:val="00C63343"/>
    <w:rsid w:val="00C63659"/>
    <w:rsid w:val="00C63C0F"/>
    <w:rsid w:val="00C65D50"/>
    <w:rsid w:val="00C703ED"/>
    <w:rsid w:val="00C710E3"/>
    <w:rsid w:val="00C75515"/>
    <w:rsid w:val="00C75AC9"/>
    <w:rsid w:val="00C75B6D"/>
    <w:rsid w:val="00C76221"/>
    <w:rsid w:val="00C77EC6"/>
    <w:rsid w:val="00C80EBE"/>
    <w:rsid w:val="00C841E0"/>
    <w:rsid w:val="00C917FD"/>
    <w:rsid w:val="00C947F5"/>
    <w:rsid w:val="00C96E41"/>
    <w:rsid w:val="00C96F47"/>
    <w:rsid w:val="00CA1849"/>
    <w:rsid w:val="00CA1F28"/>
    <w:rsid w:val="00CA2AE9"/>
    <w:rsid w:val="00CA46BA"/>
    <w:rsid w:val="00CA5027"/>
    <w:rsid w:val="00CB0771"/>
    <w:rsid w:val="00CB0C47"/>
    <w:rsid w:val="00CB116D"/>
    <w:rsid w:val="00CB19D5"/>
    <w:rsid w:val="00CB54F7"/>
    <w:rsid w:val="00CB62D2"/>
    <w:rsid w:val="00CB7CC8"/>
    <w:rsid w:val="00CC064F"/>
    <w:rsid w:val="00CC0AA4"/>
    <w:rsid w:val="00CC404F"/>
    <w:rsid w:val="00CC414D"/>
    <w:rsid w:val="00CD0AD9"/>
    <w:rsid w:val="00CD2D55"/>
    <w:rsid w:val="00CD32A0"/>
    <w:rsid w:val="00CD3A9C"/>
    <w:rsid w:val="00CD3D28"/>
    <w:rsid w:val="00CD4328"/>
    <w:rsid w:val="00CD5432"/>
    <w:rsid w:val="00CE0E04"/>
    <w:rsid w:val="00CE20F0"/>
    <w:rsid w:val="00CE34D2"/>
    <w:rsid w:val="00CE3707"/>
    <w:rsid w:val="00CE5312"/>
    <w:rsid w:val="00CF378F"/>
    <w:rsid w:val="00CF58CC"/>
    <w:rsid w:val="00D01C0A"/>
    <w:rsid w:val="00D06993"/>
    <w:rsid w:val="00D06E2C"/>
    <w:rsid w:val="00D07525"/>
    <w:rsid w:val="00D10599"/>
    <w:rsid w:val="00D12667"/>
    <w:rsid w:val="00D144AB"/>
    <w:rsid w:val="00D14655"/>
    <w:rsid w:val="00D14C49"/>
    <w:rsid w:val="00D16D9B"/>
    <w:rsid w:val="00D176EC"/>
    <w:rsid w:val="00D17807"/>
    <w:rsid w:val="00D22B90"/>
    <w:rsid w:val="00D244C2"/>
    <w:rsid w:val="00D26407"/>
    <w:rsid w:val="00D32865"/>
    <w:rsid w:val="00D34454"/>
    <w:rsid w:val="00D35B94"/>
    <w:rsid w:val="00D367D8"/>
    <w:rsid w:val="00D413FA"/>
    <w:rsid w:val="00D42B3B"/>
    <w:rsid w:val="00D45FB4"/>
    <w:rsid w:val="00D50861"/>
    <w:rsid w:val="00D520AB"/>
    <w:rsid w:val="00D52912"/>
    <w:rsid w:val="00D55680"/>
    <w:rsid w:val="00D557D2"/>
    <w:rsid w:val="00D5603B"/>
    <w:rsid w:val="00D622C6"/>
    <w:rsid w:val="00D64C6C"/>
    <w:rsid w:val="00D7072F"/>
    <w:rsid w:val="00D718DA"/>
    <w:rsid w:val="00D72AF8"/>
    <w:rsid w:val="00D752D4"/>
    <w:rsid w:val="00D7594E"/>
    <w:rsid w:val="00D82BB2"/>
    <w:rsid w:val="00D865A3"/>
    <w:rsid w:val="00D87B9C"/>
    <w:rsid w:val="00D911E4"/>
    <w:rsid w:val="00D960EC"/>
    <w:rsid w:val="00D97791"/>
    <w:rsid w:val="00DA071A"/>
    <w:rsid w:val="00DA2899"/>
    <w:rsid w:val="00DA7D4B"/>
    <w:rsid w:val="00DB1CC7"/>
    <w:rsid w:val="00DB2B15"/>
    <w:rsid w:val="00DB3F3E"/>
    <w:rsid w:val="00DC2E60"/>
    <w:rsid w:val="00DC47B4"/>
    <w:rsid w:val="00DC59EA"/>
    <w:rsid w:val="00DC733B"/>
    <w:rsid w:val="00DE1E1C"/>
    <w:rsid w:val="00DE255F"/>
    <w:rsid w:val="00DF1EA7"/>
    <w:rsid w:val="00DF24E5"/>
    <w:rsid w:val="00DF2B00"/>
    <w:rsid w:val="00DF6EF1"/>
    <w:rsid w:val="00E050D6"/>
    <w:rsid w:val="00E06C12"/>
    <w:rsid w:val="00E168E5"/>
    <w:rsid w:val="00E20872"/>
    <w:rsid w:val="00E3005D"/>
    <w:rsid w:val="00E34092"/>
    <w:rsid w:val="00E3654E"/>
    <w:rsid w:val="00E41140"/>
    <w:rsid w:val="00E43A49"/>
    <w:rsid w:val="00E50BD3"/>
    <w:rsid w:val="00E50E32"/>
    <w:rsid w:val="00E55244"/>
    <w:rsid w:val="00E57815"/>
    <w:rsid w:val="00E6152F"/>
    <w:rsid w:val="00E615B7"/>
    <w:rsid w:val="00E616AE"/>
    <w:rsid w:val="00E62525"/>
    <w:rsid w:val="00E65D1E"/>
    <w:rsid w:val="00E66F33"/>
    <w:rsid w:val="00E7202D"/>
    <w:rsid w:val="00E72346"/>
    <w:rsid w:val="00E73251"/>
    <w:rsid w:val="00E748A2"/>
    <w:rsid w:val="00E767C1"/>
    <w:rsid w:val="00E7751D"/>
    <w:rsid w:val="00E7797F"/>
    <w:rsid w:val="00E77F09"/>
    <w:rsid w:val="00E80723"/>
    <w:rsid w:val="00E918D6"/>
    <w:rsid w:val="00E92CE6"/>
    <w:rsid w:val="00E95EFB"/>
    <w:rsid w:val="00EA2F75"/>
    <w:rsid w:val="00EA5FBC"/>
    <w:rsid w:val="00EB348E"/>
    <w:rsid w:val="00EB382E"/>
    <w:rsid w:val="00EB3A0E"/>
    <w:rsid w:val="00EB3BCE"/>
    <w:rsid w:val="00EB3D0C"/>
    <w:rsid w:val="00EB3D99"/>
    <w:rsid w:val="00EB5471"/>
    <w:rsid w:val="00EB6E94"/>
    <w:rsid w:val="00EC4A7F"/>
    <w:rsid w:val="00EC5B5A"/>
    <w:rsid w:val="00EC7F8F"/>
    <w:rsid w:val="00ED2586"/>
    <w:rsid w:val="00ED4658"/>
    <w:rsid w:val="00ED75C0"/>
    <w:rsid w:val="00EE6460"/>
    <w:rsid w:val="00EE6A50"/>
    <w:rsid w:val="00EE6E67"/>
    <w:rsid w:val="00EF03E4"/>
    <w:rsid w:val="00EF1513"/>
    <w:rsid w:val="00EF2333"/>
    <w:rsid w:val="00EF27BE"/>
    <w:rsid w:val="00EF3A4B"/>
    <w:rsid w:val="00EF74CC"/>
    <w:rsid w:val="00EF7B40"/>
    <w:rsid w:val="00F01444"/>
    <w:rsid w:val="00F0256C"/>
    <w:rsid w:val="00F039DB"/>
    <w:rsid w:val="00F0457D"/>
    <w:rsid w:val="00F046CD"/>
    <w:rsid w:val="00F05118"/>
    <w:rsid w:val="00F05BE1"/>
    <w:rsid w:val="00F10B8F"/>
    <w:rsid w:val="00F11FF4"/>
    <w:rsid w:val="00F148FA"/>
    <w:rsid w:val="00F14F3C"/>
    <w:rsid w:val="00F2216F"/>
    <w:rsid w:val="00F22C5B"/>
    <w:rsid w:val="00F26218"/>
    <w:rsid w:val="00F268DE"/>
    <w:rsid w:val="00F31578"/>
    <w:rsid w:val="00F31AD7"/>
    <w:rsid w:val="00F32B66"/>
    <w:rsid w:val="00F3328C"/>
    <w:rsid w:val="00F37EE6"/>
    <w:rsid w:val="00F429F7"/>
    <w:rsid w:val="00F44547"/>
    <w:rsid w:val="00F44A80"/>
    <w:rsid w:val="00F4787F"/>
    <w:rsid w:val="00F5075E"/>
    <w:rsid w:val="00F55CCE"/>
    <w:rsid w:val="00F564C0"/>
    <w:rsid w:val="00F566AB"/>
    <w:rsid w:val="00F5706A"/>
    <w:rsid w:val="00F600CC"/>
    <w:rsid w:val="00F60667"/>
    <w:rsid w:val="00F6117E"/>
    <w:rsid w:val="00F63241"/>
    <w:rsid w:val="00F6339E"/>
    <w:rsid w:val="00F64318"/>
    <w:rsid w:val="00F64F33"/>
    <w:rsid w:val="00F65400"/>
    <w:rsid w:val="00F7239B"/>
    <w:rsid w:val="00F7567E"/>
    <w:rsid w:val="00F75A5D"/>
    <w:rsid w:val="00F765FD"/>
    <w:rsid w:val="00F80478"/>
    <w:rsid w:val="00F808DE"/>
    <w:rsid w:val="00F80EE3"/>
    <w:rsid w:val="00F85978"/>
    <w:rsid w:val="00F862BE"/>
    <w:rsid w:val="00F86BAE"/>
    <w:rsid w:val="00F871D6"/>
    <w:rsid w:val="00F910EB"/>
    <w:rsid w:val="00F93533"/>
    <w:rsid w:val="00F9418F"/>
    <w:rsid w:val="00F953E6"/>
    <w:rsid w:val="00FA4853"/>
    <w:rsid w:val="00FA4FE9"/>
    <w:rsid w:val="00FB3E60"/>
    <w:rsid w:val="00FB6094"/>
    <w:rsid w:val="00FB732D"/>
    <w:rsid w:val="00FC1517"/>
    <w:rsid w:val="00FC2E9E"/>
    <w:rsid w:val="00FC3DEC"/>
    <w:rsid w:val="00FC5C5F"/>
    <w:rsid w:val="00FC7AD0"/>
    <w:rsid w:val="00FD007C"/>
    <w:rsid w:val="00FD0AC9"/>
    <w:rsid w:val="00FD0F06"/>
    <w:rsid w:val="00FD1FEE"/>
    <w:rsid w:val="00FE328F"/>
    <w:rsid w:val="00FE3E36"/>
    <w:rsid w:val="00FE43C9"/>
    <w:rsid w:val="00FF0940"/>
    <w:rsid w:val="00FF11FC"/>
    <w:rsid w:val="00FF1E80"/>
    <w:rsid w:val="00FF23FE"/>
    <w:rsid w:val="00FF25E3"/>
    <w:rsid w:val="00FF7CD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92FD8C"/>
  <w15:chartTrackingRefBased/>
  <w15:docId w15:val="{E5F720B9-0CE3-4631-9025-B5F8F32CF6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24EA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24EA3"/>
  </w:style>
  <w:style w:type="paragraph" w:styleId="Piedepgina">
    <w:name w:val="footer"/>
    <w:basedOn w:val="Normal"/>
    <w:link w:val="PiedepginaCar"/>
    <w:uiPriority w:val="99"/>
    <w:unhideWhenUsed/>
    <w:rsid w:val="00B24EA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24EA3"/>
  </w:style>
  <w:style w:type="paragraph" w:styleId="Prrafodelista">
    <w:name w:val="List Paragraph"/>
    <w:basedOn w:val="Normal"/>
    <w:uiPriority w:val="34"/>
    <w:qFormat/>
    <w:rsid w:val="007E7D70"/>
    <w:pPr>
      <w:ind w:left="720"/>
      <w:contextualSpacing/>
    </w:pPr>
  </w:style>
  <w:style w:type="character" w:styleId="Hipervnculo">
    <w:name w:val="Hyperlink"/>
    <w:basedOn w:val="Fuentedeprrafopredeter"/>
    <w:uiPriority w:val="99"/>
    <w:unhideWhenUsed/>
    <w:rsid w:val="001131E5"/>
    <w:rPr>
      <w:color w:val="0000FF" w:themeColor="hyperlink"/>
      <w:u w:val="single"/>
    </w:rPr>
  </w:style>
  <w:style w:type="character" w:styleId="Mencinsinresolver">
    <w:name w:val="Unresolved Mention"/>
    <w:basedOn w:val="Fuentedeprrafopredeter"/>
    <w:uiPriority w:val="99"/>
    <w:semiHidden/>
    <w:unhideWhenUsed/>
    <w:rsid w:val="001131E5"/>
    <w:rPr>
      <w:color w:val="605E5C"/>
      <w:shd w:val="clear" w:color="auto" w:fill="E1DFDD"/>
    </w:rPr>
  </w:style>
  <w:style w:type="paragraph" w:styleId="NormalWeb">
    <w:name w:val="Normal (Web)"/>
    <w:basedOn w:val="Normal"/>
    <w:uiPriority w:val="99"/>
    <w:semiHidden/>
    <w:unhideWhenUsed/>
    <w:rsid w:val="00CA5027"/>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683102">
      <w:bodyDiv w:val="1"/>
      <w:marLeft w:val="0"/>
      <w:marRight w:val="0"/>
      <w:marTop w:val="0"/>
      <w:marBottom w:val="0"/>
      <w:divBdr>
        <w:top w:val="none" w:sz="0" w:space="0" w:color="auto"/>
        <w:left w:val="none" w:sz="0" w:space="0" w:color="auto"/>
        <w:bottom w:val="none" w:sz="0" w:space="0" w:color="auto"/>
        <w:right w:val="none" w:sz="0" w:space="0" w:color="auto"/>
      </w:divBdr>
    </w:div>
    <w:div w:id="278688283">
      <w:bodyDiv w:val="1"/>
      <w:marLeft w:val="0"/>
      <w:marRight w:val="0"/>
      <w:marTop w:val="0"/>
      <w:marBottom w:val="0"/>
      <w:divBdr>
        <w:top w:val="none" w:sz="0" w:space="0" w:color="auto"/>
        <w:left w:val="none" w:sz="0" w:space="0" w:color="auto"/>
        <w:bottom w:val="none" w:sz="0" w:space="0" w:color="auto"/>
        <w:right w:val="none" w:sz="0" w:space="0" w:color="auto"/>
      </w:divBdr>
    </w:div>
    <w:div w:id="373887522">
      <w:bodyDiv w:val="1"/>
      <w:marLeft w:val="0"/>
      <w:marRight w:val="0"/>
      <w:marTop w:val="0"/>
      <w:marBottom w:val="0"/>
      <w:divBdr>
        <w:top w:val="none" w:sz="0" w:space="0" w:color="auto"/>
        <w:left w:val="none" w:sz="0" w:space="0" w:color="auto"/>
        <w:bottom w:val="none" w:sz="0" w:space="0" w:color="auto"/>
        <w:right w:val="none" w:sz="0" w:space="0" w:color="auto"/>
      </w:divBdr>
    </w:div>
    <w:div w:id="413212219">
      <w:bodyDiv w:val="1"/>
      <w:marLeft w:val="0"/>
      <w:marRight w:val="0"/>
      <w:marTop w:val="0"/>
      <w:marBottom w:val="0"/>
      <w:divBdr>
        <w:top w:val="none" w:sz="0" w:space="0" w:color="auto"/>
        <w:left w:val="none" w:sz="0" w:space="0" w:color="auto"/>
        <w:bottom w:val="none" w:sz="0" w:space="0" w:color="auto"/>
        <w:right w:val="none" w:sz="0" w:space="0" w:color="auto"/>
      </w:divBdr>
    </w:div>
    <w:div w:id="587614053">
      <w:bodyDiv w:val="1"/>
      <w:marLeft w:val="0"/>
      <w:marRight w:val="0"/>
      <w:marTop w:val="0"/>
      <w:marBottom w:val="0"/>
      <w:divBdr>
        <w:top w:val="none" w:sz="0" w:space="0" w:color="auto"/>
        <w:left w:val="none" w:sz="0" w:space="0" w:color="auto"/>
        <w:bottom w:val="none" w:sz="0" w:space="0" w:color="auto"/>
        <w:right w:val="none" w:sz="0" w:space="0" w:color="auto"/>
      </w:divBdr>
    </w:div>
    <w:div w:id="638847816">
      <w:bodyDiv w:val="1"/>
      <w:marLeft w:val="0"/>
      <w:marRight w:val="0"/>
      <w:marTop w:val="0"/>
      <w:marBottom w:val="0"/>
      <w:divBdr>
        <w:top w:val="none" w:sz="0" w:space="0" w:color="auto"/>
        <w:left w:val="none" w:sz="0" w:space="0" w:color="auto"/>
        <w:bottom w:val="none" w:sz="0" w:space="0" w:color="auto"/>
        <w:right w:val="none" w:sz="0" w:space="0" w:color="auto"/>
      </w:divBdr>
    </w:div>
    <w:div w:id="723722970">
      <w:bodyDiv w:val="1"/>
      <w:marLeft w:val="0"/>
      <w:marRight w:val="0"/>
      <w:marTop w:val="0"/>
      <w:marBottom w:val="0"/>
      <w:divBdr>
        <w:top w:val="none" w:sz="0" w:space="0" w:color="auto"/>
        <w:left w:val="none" w:sz="0" w:space="0" w:color="auto"/>
        <w:bottom w:val="none" w:sz="0" w:space="0" w:color="auto"/>
        <w:right w:val="none" w:sz="0" w:space="0" w:color="auto"/>
      </w:divBdr>
    </w:div>
    <w:div w:id="836967126">
      <w:bodyDiv w:val="1"/>
      <w:marLeft w:val="0"/>
      <w:marRight w:val="0"/>
      <w:marTop w:val="0"/>
      <w:marBottom w:val="0"/>
      <w:divBdr>
        <w:top w:val="none" w:sz="0" w:space="0" w:color="auto"/>
        <w:left w:val="none" w:sz="0" w:space="0" w:color="auto"/>
        <w:bottom w:val="none" w:sz="0" w:space="0" w:color="auto"/>
        <w:right w:val="none" w:sz="0" w:space="0" w:color="auto"/>
      </w:divBdr>
    </w:div>
    <w:div w:id="985204581">
      <w:bodyDiv w:val="1"/>
      <w:marLeft w:val="0"/>
      <w:marRight w:val="0"/>
      <w:marTop w:val="0"/>
      <w:marBottom w:val="0"/>
      <w:divBdr>
        <w:top w:val="none" w:sz="0" w:space="0" w:color="auto"/>
        <w:left w:val="none" w:sz="0" w:space="0" w:color="auto"/>
        <w:bottom w:val="none" w:sz="0" w:space="0" w:color="auto"/>
        <w:right w:val="none" w:sz="0" w:space="0" w:color="auto"/>
      </w:divBdr>
    </w:div>
    <w:div w:id="1062678508">
      <w:bodyDiv w:val="1"/>
      <w:marLeft w:val="0"/>
      <w:marRight w:val="0"/>
      <w:marTop w:val="0"/>
      <w:marBottom w:val="0"/>
      <w:divBdr>
        <w:top w:val="none" w:sz="0" w:space="0" w:color="auto"/>
        <w:left w:val="none" w:sz="0" w:space="0" w:color="auto"/>
        <w:bottom w:val="none" w:sz="0" w:space="0" w:color="auto"/>
        <w:right w:val="none" w:sz="0" w:space="0" w:color="auto"/>
      </w:divBdr>
    </w:div>
    <w:div w:id="1239943870">
      <w:bodyDiv w:val="1"/>
      <w:marLeft w:val="0"/>
      <w:marRight w:val="0"/>
      <w:marTop w:val="0"/>
      <w:marBottom w:val="0"/>
      <w:divBdr>
        <w:top w:val="none" w:sz="0" w:space="0" w:color="auto"/>
        <w:left w:val="none" w:sz="0" w:space="0" w:color="auto"/>
        <w:bottom w:val="none" w:sz="0" w:space="0" w:color="auto"/>
        <w:right w:val="none" w:sz="0" w:space="0" w:color="auto"/>
      </w:divBdr>
    </w:div>
    <w:div w:id="1388534225">
      <w:bodyDiv w:val="1"/>
      <w:marLeft w:val="0"/>
      <w:marRight w:val="0"/>
      <w:marTop w:val="0"/>
      <w:marBottom w:val="0"/>
      <w:divBdr>
        <w:top w:val="none" w:sz="0" w:space="0" w:color="auto"/>
        <w:left w:val="none" w:sz="0" w:space="0" w:color="auto"/>
        <w:bottom w:val="none" w:sz="0" w:space="0" w:color="auto"/>
        <w:right w:val="none" w:sz="0" w:space="0" w:color="auto"/>
      </w:divBdr>
    </w:div>
    <w:div w:id="1490172636">
      <w:bodyDiv w:val="1"/>
      <w:marLeft w:val="0"/>
      <w:marRight w:val="0"/>
      <w:marTop w:val="0"/>
      <w:marBottom w:val="0"/>
      <w:divBdr>
        <w:top w:val="none" w:sz="0" w:space="0" w:color="auto"/>
        <w:left w:val="none" w:sz="0" w:space="0" w:color="auto"/>
        <w:bottom w:val="none" w:sz="0" w:space="0" w:color="auto"/>
        <w:right w:val="none" w:sz="0" w:space="0" w:color="auto"/>
      </w:divBdr>
    </w:div>
    <w:div w:id="1605183930">
      <w:bodyDiv w:val="1"/>
      <w:marLeft w:val="0"/>
      <w:marRight w:val="0"/>
      <w:marTop w:val="0"/>
      <w:marBottom w:val="0"/>
      <w:divBdr>
        <w:top w:val="none" w:sz="0" w:space="0" w:color="auto"/>
        <w:left w:val="none" w:sz="0" w:space="0" w:color="auto"/>
        <w:bottom w:val="none" w:sz="0" w:space="0" w:color="auto"/>
        <w:right w:val="none" w:sz="0" w:space="0" w:color="auto"/>
      </w:divBdr>
    </w:div>
    <w:div w:id="1769931550">
      <w:bodyDiv w:val="1"/>
      <w:marLeft w:val="0"/>
      <w:marRight w:val="0"/>
      <w:marTop w:val="0"/>
      <w:marBottom w:val="0"/>
      <w:divBdr>
        <w:top w:val="none" w:sz="0" w:space="0" w:color="auto"/>
        <w:left w:val="none" w:sz="0" w:space="0" w:color="auto"/>
        <w:bottom w:val="none" w:sz="0" w:space="0" w:color="auto"/>
        <w:right w:val="none" w:sz="0" w:space="0" w:color="auto"/>
      </w:divBdr>
    </w:div>
    <w:div w:id="1789885112">
      <w:bodyDiv w:val="1"/>
      <w:marLeft w:val="0"/>
      <w:marRight w:val="0"/>
      <w:marTop w:val="0"/>
      <w:marBottom w:val="0"/>
      <w:divBdr>
        <w:top w:val="none" w:sz="0" w:space="0" w:color="auto"/>
        <w:left w:val="none" w:sz="0" w:space="0" w:color="auto"/>
        <w:bottom w:val="none" w:sz="0" w:space="0" w:color="auto"/>
        <w:right w:val="none" w:sz="0" w:space="0" w:color="auto"/>
      </w:divBdr>
    </w:div>
    <w:div w:id="1818372363">
      <w:bodyDiv w:val="1"/>
      <w:marLeft w:val="0"/>
      <w:marRight w:val="0"/>
      <w:marTop w:val="0"/>
      <w:marBottom w:val="0"/>
      <w:divBdr>
        <w:top w:val="none" w:sz="0" w:space="0" w:color="auto"/>
        <w:left w:val="none" w:sz="0" w:space="0" w:color="auto"/>
        <w:bottom w:val="none" w:sz="0" w:space="0" w:color="auto"/>
        <w:right w:val="none" w:sz="0" w:space="0" w:color="auto"/>
      </w:divBdr>
    </w:div>
    <w:div w:id="1908759345">
      <w:bodyDiv w:val="1"/>
      <w:marLeft w:val="0"/>
      <w:marRight w:val="0"/>
      <w:marTop w:val="0"/>
      <w:marBottom w:val="0"/>
      <w:divBdr>
        <w:top w:val="none" w:sz="0" w:space="0" w:color="auto"/>
        <w:left w:val="none" w:sz="0" w:space="0" w:color="auto"/>
        <w:bottom w:val="none" w:sz="0" w:space="0" w:color="auto"/>
        <w:right w:val="none" w:sz="0" w:space="0" w:color="auto"/>
      </w:divBdr>
    </w:div>
    <w:div w:id="1915125343">
      <w:bodyDiv w:val="1"/>
      <w:marLeft w:val="0"/>
      <w:marRight w:val="0"/>
      <w:marTop w:val="0"/>
      <w:marBottom w:val="0"/>
      <w:divBdr>
        <w:top w:val="none" w:sz="0" w:space="0" w:color="auto"/>
        <w:left w:val="none" w:sz="0" w:space="0" w:color="auto"/>
        <w:bottom w:val="none" w:sz="0" w:space="0" w:color="auto"/>
        <w:right w:val="none" w:sz="0" w:space="0" w:color="auto"/>
      </w:divBdr>
    </w:div>
    <w:div w:id="1916747301">
      <w:bodyDiv w:val="1"/>
      <w:marLeft w:val="0"/>
      <w:marRight w:val="0"/>
      <w:marTop w:val="0"/>
      <w:marBottom w:val="0"/>
      <w:divBdr>
        <w:top w:val="none" w:sz="0" w:space="0" w:color="auto"/>
        <w:left w:val="none" w:sz="0" w:space="0" w:color="auto"/>
        <w:bottom w:val="none" w:sz="0" w:space="0" w:color="auto"/>
        <w:right w:val="none" w:sz="0" w:space="0" w:color="auto"/>
      </w:divBdr>
    </w:div>
    <w:div w:id="2043166597">
      <w:bodyDiv w:val="1"/>
      <w:marLeft w:val="0"/>
      <w:marRight w:val="0"/>
      <w:marTop w:val="0"/>
      <w:marBottom w:val="0"/>
      <w:divBdr>
        <w:top w:val="none" w:sz="0" w:space="0" w:color="auto"/>
        <w:left w:val="none" w:sz="0" w:space="0" w:color="auto"/>
        <w:bottom w:val="none" w:sz="0" w:space="0" w:color="auto"/>
        <w:right w:val="none" w:sz="0" w:space="0" w:color="auto"/>
      </w:divBdr>
    </w:div>
    <w:div w:id="2080470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andara">
      <a:majorFont>
        <a:latin typeface="Candara" panose="020E0502030303020204"/>
        <a:ea typeface=""/>
        <a:cs typeface=""/>
        <a:font script="Jpan" typeface="HGｺﾞｼｯｸM"/>
        <a:font script="Hang" typeface="HY엽서L"/>
        <a:font script="Hans" typeface="华文楷体"/>
        <a:font script="Hant" typeface="新細明體"/>
        <a:font script="Arab" typeface="Tahoma"/>
        <a:font script="Hebr" typeface="Miriam"/>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Candara" panose="020E0502030303020204"/>
        <a:ea typeface=""/>
        <a:cs typeface=""/>
        <a:font script="Jpan" typeface="HGｺﾞｼｯｸM"/>
        <a:font script="Hang" typeface="HY엽서L"/>
        <a:font script="Hans" typeface="华文楷体"/>
        <a:font script="Hant" typeface="新細明體"/>
        <a:font script="Arab" typeface="Tahoma"/>
        <a:font script="Hebr" typeface="Miriam"/>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CA0BA9-47AD-4F93-B7DE-84AF56CE26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659</Words>
  <Characters>3625</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Guillermo Caballero Moral</dc:creator>
  <cp:keywords/>
  <dc:description/>
  <cp:lastModifiedBy>Sonia Mendez Masero</cp:lastModifiedBy>
  <cp:revision>2</cp:revision>
  <cp:lastPrinted>2025-08-12T08:28:00Z</cp:lastPrinted>
  <dcterms:created xsi:type="dcterms:W3CDTF">2025-10-30T09:24:00Z</dcterms:created>
  <dcterms:modified xsi:type="dcterms:W3CDTF">2025-10-30T09:24:00Z</dcterms:modified>
</cp:coreProperties>
</file>