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7D7681C0" w14:textId="11042F3D" w:rsidR="003D6422" w:rsidRDefault="00695A1D" w:rsidP="003C6FB7">
      <w:pPr>
        <w:ind w:left="-709"/>
      </w:pPr>
      <w:r>
        <w:rPr>
          <w:noProof/>
        </w:rPr>
        <w:drawing>
          <wp:anchor distT="0" distB="0" distL="114300" distR="114300" simplePos="0" relativeHeight="251660288" behindDoc="1" locked="0" layoutInCell="1" allowOverlap="1" wp14:anchorId="19AE5D19" wp14:editId="0ABF8FAC">
            <wp:simplePos x="0" y="0"/>
            <wp:positionH relativeFrom="page">
              <wp:posOffset>5097</wp:posOffset>
            </wp:positionH>
            <wp:positionV relativeFrom="paragraph">
              <wp:posOffset>-1434465</wp:posOffset>
            </wp:positionV>
            <wp:extent cx="7530465" cy="10651490"/>
            <wp:effectExtent l="0" t="0" r="0" b="0"/>
            <wp:wrapNone/>
            <wp:docPr id="1" name="Imagen 1" descr="Patrón de fond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Patrón de fondo&#10;&#10;El contenido generado por IA puede ser incorrecto."/>
                    <pic:cNvPicPr/>
                  </pic:nvPicPr>
                  <pic:blipFill>
                    <a:blip r:embed="rId8">
                      <a:extLst>
                        <a:ext uri="{28A0092B-C50C-407E-A947-70E740481C1C}">
                          <a14:useLocalDpi xmlns:a14="http://schemas.microsoft.com/office/drawing/2010/main" val="0"/>
                        </a:ext>
                      </a:extLst>
                    </a:blip>
                    <a:stretch>
                      <a:fillRect/>
                    </a:stretch>
                  </pic:blipFill>
                  <pic:spPr>
                    <a:xfrm>
                      <a:off x="0" y="0"/>
                      <a:ext cx="7530465" cy="1065149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2336" behindDoc="0" locked="0" layoutInCell="1" allowOverlap="1" wp14:anchorId="5C689148" wp14:editId="689502E9">
                <wp:simplePos x="0" y="0"/>
                <wp:positionH relativeFrom="page">
                  <wp:posOffset>33655</wp:posOffset>
                </wp:positionH>
                <wp:positionV relativeFrom="paragraph">
                  <wp:posOffset>-73042</wp:posOffset>
                </wp:positionV>
                <wp:extent cx="7493876" cy="10651490"/>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7493876" cy="10651490"/>
                        </a:xfrm>
                        <a:prstGeom prst="rect">
                          <a:avLst/>
                        </a:prstGeom>
                        <a:noFill/>
                        <a:ln>
                          <a:noFill/>
                        </a:ln>
                      </wps:spPr>
                      <wps:txbx>
                        <w:txbxContent>
                          <w:p w14:paraId="11B505D5" w14:textId="77777777" w:rsidR="003D6422" w:rsidRPr="003D6422" w:rsidRDefault="003D6422" w:rsidP="003D6422">
                            <w:pPr>
                              <w:jc w:val="cente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pPr>
                            <w:r w:rsidRP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Análisis Estadístico</w:t>
                            </w:r>
                          </w:p>
                          <w:p w14:paraId="60EDF320" w14:textId="21484660" w:rsidR="003D6422" w:rsidRDefault="003D6422" w:rsidP="003D6422">
                            <w:pPr>
                              <w:jc w:val="cente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pPr>
                            <w:r w:rsidRP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w:t>
                            </w:r>
                            <w:r w:rsidR="00590D6F">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IP</w:t>
                            </w:r>
                            <w:r w:rsidR="005757CD">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I</w:t>
                            </w:r>
                          </w:p>
                          <w:p w14:paraId="757D1A0E" w14:textId="774F542B" w:rsidR="003D6422" w:rsidRPr="003D6422" w:rsidRDefault="00067285" w:rsidP="003D6422">
                            <w:pPr>
                              <w:jc w:val="center"/>
                              <w:rPr>
                                <w:b/>
                                <w:noProof/>
                                <w:color w:val="E5B8B7" w:themeColor="accent2" w:themeTint="66"/>
                                <w:sz w:val="80"/>
                                <w:szCs w:val="80"/>
                                <w14:textOutline w14:w="11112" w14:cap="flat" w14:cmpd="sng" w14:algn="ctr">
                                  <w14:solidFill>
                                    <w14:srgbClr w14:val="663300"/>
                                  </w14:solidFill>
                                  <w14:prstDash w14:val="solid"/>
                                  <w14:round/>
                                </w14:textOutline>
                                <w14:numForm w14:val="oldStyle"/>
                                <w14:numSpacing w14:val="tabular"/>
                              </w:rPr>
                            </w:pPr>
                            <w: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Noviembre</w:t>
                            </w:r>
                            <w:r w:rsid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w:pict>
              <v:shapetype w14:anchorId="5C689148" id="_x0000_t202" coordsize="21600,21600" o:spt="202" path="m,l,21600r21600,l21600,xe">
                <v:stroke joinstyle="miter"/>
                <v:path gradientshapeok="t" o:connecttype="rect"/>
              </v:shapetype>
              <v:shape id="Cuadro de texto 2" o:spid="_x0000_s1026" type="#_x0000_t202" style="position:absolute;left:0;text-align:left;margin-left:2.65pt;margin-top:-5.75pt;width:590.05pt;height:838.7pt;z-index:25166233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" filled="f" stroked="f">
                <v:textbox style="mso-fit-shape-to-text:t">
                  <w:txbxContent>
                    <w:p w14:paraId="11B505D5" w14:textId="77777777" w:rsidR="003D6422" w:rsidRPr="003D6422" w:rsidRDefault="003D6422" w:rsidP="003D6422">
                      <w:pPr>
                        <w:jc w:val="cente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pPr>
                      <w:r w:rsidRP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Análisis Estadístico</w:t>
                      </w:r>
                    </w:p>
                    <w:p w14:paraId="60EDF320" w14:textId="21484660" w:rsidR="003D6422" w:rsidRDefault="003D6422" w:rsidP="003D6422">
                      <w:pPr>
                        <w:jc w:val="cente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pPr>
                      <w:r w:rsidRP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w:t>
                      </w:r>
                      <w:r w:rsidR="00590D6F">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IP</w:t>
                      </w:r>
                      <w:r w:rsidR="005757CD">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I</w:t>
                      </w:r>
                    </w:p>
                    <w:p w14:paraId="757D1A0E" w14:textId="774F542B" w:rsidR="003D6422" w:rsidRPr="003D6422" w:rsidRDefault="00067285" w:rsidP="003D6422">
                      <w:pPr>
                        <w:jc w:val="center"/>
                        <w:rPr>
                          <w:b/>
                          <w:noProof/>
                          <w:color w:val="E5B8B7" w:themeColor="accent2" w:themeTint="66"/>
                          <w:sz w:val="80"/>
                          <w:szCs w:val="80"/>
                          <w14:textOutline w14:w="11112" w14:cap="flat" w14:cmpd="sng" w14:algn="ctr">
                            <w14:solidFill>
                              <w14:srgbClr w14:val="663300"/>
                            </w14:solidFill>
                            <w14:prstDash w14:val="solid"/>
                            <w14:round/>
                          </w14:textOutline>
                          <w14:numForm w14:val="oldStyle"/>
                          <w14:numSpacing w14:val="tabular"/>
                        </w:rPr>
                      </w:pPr>
                      <w: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Noviembre</w:t>
                      </w:r>
                      <w:r w:rsid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2025</w:t>
                      </w:r>
                    </w:p>
                  </w:txbxContent>
                </v:textbox>
                <w10:wrap anchorx="page"/>
              </v:shape>
            </w:pict>
          </mc:Fallback>
        </mc:AlternateContent>
      </w:r>
    </w:p>
    <w:p w14:paraId="741336D5" w14:textId="77777777" w:rsidR="00545A39" w:rsidRPr="00545A39" w:rsidRDefault="003D6422" w:rsidP="00545A39">
      <w:pPr>
        <w:rPr>
          <w:rFonts w:ascii="Calibri" w:eastAsia="Calibri" w:hAnsi="Calibri" w:cs="Times New Roman"/>
        </w:rPr>
      </w:pPr>
      <w:r>
        <w:br w:type="page"/>
      </w:r>
    </w:p>
    <w:p w14:paraId="202B7CEC" w14:textId="1D98CF2A" w:rsidR="00545A39" w:rsidRDefault="00545A39" w:rsidP="00545A39">
      <w:pPr>
        <w:jc w:val="center"/>
        <w:rPr>
          <w:rFonts w:ascii="Calibri" w:eastAsia="Calibri" w:hAnsi="Calibri" w:cs="Times New Roman"/>
          <w:b/>
          <w:bCs/>
          <w:color w:val="FF0000"/>
          <w:sz w:val="32"/>
          <w:szCs w:val="32"/>
          <w:u w:val="single"/>
        </w:rPr>
      </w:pPr>
      <w:r w:rsidRPr="00545A39">
        <w:rPr>
          <w:rFonts w:ascii="Calibri" w:eastAsia="Calibri" w:hAnsi="Calibri" w:cs="Times New Roman"/>
          <w:b/>
          <w:bCs/>
          <w:color w:val="FF0000"/>
          <w:sz w:val="32"/>
          <w:szCs w:val="32"/>
          <w:u w:val="single"/>
        </w:rPr>
        <w:lastRenderedPageBreak/>
        <w:t>INFORME ESTADÍSTICO IP</w:t>
      </w:r>
      <w:r w:rsidR="00702A01">
        <w:rPr>
          <w:rFonts w:ascii="Calibri" w:eastAsia="Calibri" w:hAnsi="Calibri" w:cs="Times New Roman"/>
          <w:b/>
          <w:bCs/>
          <w:color w:val="FF0000"/>
          <w:sz w:val="32"/>
          <w:szCs w:val="32"/>
          <w:u w:val="single"/>
        </w:rPr>
        <w:t>I</w:t>
      </w:r>
      <w:r w:rsidRPr="00545A39">
        <w:rPr>
          <w:rFonts w:ascii="Calibri" w:eastAsia="Calibri" w:hAnsi="Calibri" w:cs="Times New Roman"/>
          <w:b/>
          <w:bCs/>
          <w:color w:val="FF0000"/>
          <w:sz w:val="32"/>
          <w:szCs w:val="32"/>
          <w:u w:val="single"/>
        </w:rPr>
        <w:t xml:space="preserve"> </w:t>
      </w:r>
      <w:r w:rsidR="00067285">
        <w:rPr>
          <w:rFonts w:ascii="Calibri" w:eastAsia="Calibri" w:hAnsi="Calibri" w:cs="Times New Roman"/>
          <w:b/>
          <w:bCs/>
          <w:color w:val="FF0000"/>
          <w:sz w:val="32"/>
          <w:szCs w:val="32"/>
          <w:u w:val="single"/>
        </w:rPr>
        <w:t>NOVIEMBRE</w:t>
      </w:r>
      <w:r w:rsidRPr="00545A39">
        <w:rPr>
          <w:rFonts w:ascii="Calibri" w:eastAsia="Calibri" w:hAnsi="Calibri" w:cs="Times New Roman"/>
          <w:b/>
          <w:bCs/>
          <w:color w:val="FF0000"/>
          <w:sz w:val="32"/>
          <w:szCs w:val="32"/>
          <w:u w:val="single"/>
        </w:rPr>
        <w:t xml:space="preserve"> 2025</w:t>
      </w:r>
    </w:p>
    <w:p w14:paraId="4BF63309" w14:textId="77777777" w:rsidR="00702A01" w:rsidRPr="00545A39" w:rsidRDefault="00702A01" w:rsidP="00545A39">
      <w:pPr>
        <w:jc w:val="center"/>
        <w:rPr>
          <w:rFonts w:ascii="Calibri" w:eastAsia="Calibri" w:hAnsi="Calibri" w:cs="Times New Roman"/>
          <w:b/>
          <w:bCs/>
          <w:color w:val="FF0000"/>
          <w:sz w:val="32"/>
          <w:szCs w:val="32"/>
          <w:u w:val="single"/>
        </w:rPr>
      </w:pPr>
    </w:p>
    <w:p w14:paraId="3602277E" w14:textId="14B8CE51" w:rsidR="00702A01" w:rsidRPr="00702A01" w:rsidRDefault="00A00265" w:rsidP="00702A01">
      <w:pPr>
        <w:spacing w:line="256" w:lineRule="auto"/>
        <w:ind w:left="708"/>
        <w:jc w:val="center"/>
        <w:rPr>
          <w:rFonts w:ascii="Calibri" w:eastAsia="Calibri" w:hAnsi="Calibri" w:cs="Times New Roman"/>
          <w:b/>
          <w:bCs/>
          <w:color w:val="000000"/>
          <w:sz w:val="24"/>
          <w:szCs w:val="24"/>
        </w:rPr>
      </w:pPr>
      <w:r>
        <w:rPr>
          <w:rFonts w:ascii="Calibri" w:eastAsia="Calibri" w:hAnsi="Calibri" w:cs="Times New Roman"/>
          <w:b/>
          <w:bCs/>
          <w:color w:val="000000"/>
          <w:sz w:val="24"/>
          <w:szCs w:val="24"/>
        </w:rPr>
        <w:t>Pese al descenso en la producción industrial en el mes de noviembre, Andalucía muestra una tendencia de crecimiento en el sector secundario</w:t>
      </w:r>
    </w:p>
    <w:p w14:paraId="0BB1DB4D" w14:textId="77777777" w:rsidR="00702A01" w:rsidRPr="00702A01" w:rsidRDefault="00702A01" w:rsidP="00702A01">
      <w:pPr>
        <w:spacing w:line="256" w:lineRule="auto"/>
        <w:ind w:left="708"/>
        <w:jc w:val="both"/>
        <w:rPr>
          <w:rFonts w:ascii="Calibri" w:eastAsia="Calibri" w:hAnsi="Calibri" w:cs="Times New Roman"/>
          <w:i/>
          <w:iCs/>
          <w:color w:val="000000"/>
          <w:sz w:val="20"/>
          <w:szCs w:val="20"/>
        </w:rPr>
      </w:pPr>
    </w:p>
    <w:p w14:paraId="4136DA3C" w14:textId="47424A32" w:rsidR="00702A01" w:rsidRPr="00702A01" w:rsidRDefault="00702A01" w:rsidP="00702A01">
      <w:pPr>
        <w:spacing w:line="256" w:lineRule="auto"/>
        <w:ind w:left="708"/>
        <w:jc w:val="both"/>
        <w:rPr>
          <w:rFonts w:ascii="Calibri" w:eastAsia="Calibri" w:hAnsi="Calibri" w:cs="Times New Roman"/>
          <w:i/>
          <w:iCs/>
          <w:color w:val="000000"/>
          <w:sz w:val="20"/>
          <w:szCs w:val="20"/>
        </w:rPr>
      </w:pPr>
      <w:r w:rsidRPr="00702A01">
        <w:rPr>
          <w:rFonts w:ascii="Calibri" w:eastAsia="Calibri" w:hAnsi="Calibri" w:cs="Times New Roman"/>
          <w:i/>
          <w:iCs/>
          <w:color w:val="000000"/>
          <w:sz w:val="20"/>
          <w:szCs w:val="20"/>
        </w:rPr>
        <w:t xml:space="preserve">La producción industrial andaluza </w:t>
      </w:r>
      <w:r w:rsidR="00EC22A9">
        <w:rPr>
          <w:rFonts w:ascii="Calibri" w:eastAsia="Calibri" w:hAnsi="Calibri" w:cs="Times New Roman"/>
          <w:i/>
          <w:iCs/>
          <w:color w:val="000000"/>
          <w:sz w:val="20"/>
          <w:szCs w:val="20"/>
        </w:rPr>
        <w:t>desciende</w:t>
      </w:r>
      <w:r w:rsidRPr="00702A01">
        <w:rPr>
          <w:rFonts w:ascii="Calibri" w:eastAsia="Calibri" w:hAnsi="Calibri" w:cs="Times New Roman"/>
          <w:i/>
          <w:iCs/>
          <w:color w:val="000000"/>
          <w:sz w:val="20"/>
          <w:szCs w:val="20"/>
        </w:rPr>
        <w:t xml:space="preserve"> en </w:t>
      </w:r>
      <w:r w:rsidR="00EC22A9">
        <w:rPr>
          <w:rFonts w:ascii="Calibri" w:eastAsia="Calibri" w:hAnsi="Calibri" w:cs="Times New Roman"/>
          <w:i/>
          <w:iCs/>
          <w:color w:val="000000"/>
          <w:sz w:val="20"/>
          <w:szCs w:val="20"/>
        </w:rPr>
        <w:t>el mes de</w:t>
      </w:r>
      <w:r w:rsidRPr="00702A01">
        <w:rPr>
          <w:rFonts w:ascii="Calibri" w:eastAsia="Calibri" w:hAnsi="Calibri" w:cs="Times New Roman"/>
          <w:i/>
          <w:iCs/>
          <w:color w:val="000000"/>
          <w:sz w:val="20"/>
          <w:szCs w:val="20"/>
        </w:rPr>
        <w:t xml:space="preserve"> de </w:t>
      </w:r>
      <w:r w:rsidR="00EC22A9">
        <w:rPr>
          <w:rFonts w:ascii="Calibri" w:eastAsia="Calibri" w:hAnsi="Calibri" w:cs="Times New Roman"/>
          <w:i/>
          <w:iCs/>
          <w:color w:val="000000"/>
          <w:sz w:val="20"/>
          <w:szCs w:val="20"/>
        </w:rPr>
        <w:t>noviembre (últimos datos oficiales)</w:t>
      </w:r>
      <w:r w:rsidRPr="00702A01">
        <w:rPr>
          <w:rFonts w:ascii="Calibri" w:eastAsia="Calibri" w:hAnsi="Calibri" w:cs="Times New Roman"/>
          <w:i/>
          <w:iCs/>
          <w:color w:val="000000"/>
          <w:sz w:val="20"/>
          <w:szCs w:val="20"/>
        </w:rPr>
        <w:t xml:space="preserve"> con una tasa mensual del </w:t>
      </w:r>
      <w:r w:rsidR="00EC22A9">
        <w:rPr>
          <w:rFonts w:ascii="Calibri" w:eastAsia="Calibri" w:hAnsi="Calibri" w:cs="Times New Roman"/>
          <w:i/>
          <w:iCs/>
          <w:color w:val="000000"/>
          <w:sz w:val="20"/>
          <w:szCs w:val="20"/>
        </w:rPr>
        <w:t>-8,1</w:t>
      </w:r>
      <w:r w:rsidRPr="00702A01">
        <w:rPr>
          <w:rFonts w:ascii="Calibri" w:eastAsia="Calibri" w:hAnsi="Calibri" w:cs="Times New Roman"/>
          <w:i/>
          <w:iCs/>
          <w:color w:val="000000"/>
          <w:sz w:val="20"/>
          <w:szCs w:val="20"/>
        </w:rPr>
        <w:t xml:space="preserve">%, por </w:t>
      </w:r>
      <w:r w:rsidR="00EC22A9">
        <w:rPr>
          <w:rFonts w:ascii="Calibri" w:eastAsia="Calibri" w:hAnsi="Calibri" w:cs="Times New Roman"/>
          <w:i/>
          <w:iCs/>
          <w:color w:val="000000"/>
          <w:sz w:val="20"/>
          <w:szCs w:val="20"/>
        </w:rPr>
        <w:t>debajo</w:t>
      </w:r>
      <w:r w:rsidRPr="00702A01">
        <w:rPr>
          <w:rFonts w:ascii="Calibri" w:eastAsia="Calibri" w:hAnsi="Calibri" w:cs="Times New Roman"/>
          <w:i/>
          <w:iCs/>
          <w:color w:val="000000"/>
          <w:sz w:val="20"/>
          <w:szCs w:val="20"/>
        </w:rPr>
        <w:t xml:space="preserve"> del registrado en la media del país (</w:t>
      </w:r>
      <w:r w:rsidR="00EC22A9">
        <w:rPr>
          <w:rFonts w:ascii="Calibri" w:eastAsia="Calibri" w:hAnsi="Calibri" w:cs="Times New Roman"/>
          <w:i/>
          <w:iCs/>
          <w:color w:val="000000"/>
          <w:sz w:val="20"/>
          <w:szCs w:val="20"/>
        </w:rPr>
        <w:t>-5,7</w:t>
      </w:r>
      <w:r w:rsidRPr="00702A01">
        <w:rPr>
          <w:rFonts w:ascii="Calibri" w:eastAsia="Calibri" w:hAnsi="Calibri" w:cs="Times New Roman"/>
          <w:i/>
          <w:iCs/>
          <w:color w:val="000000"/>
          <w:sz w:val="20"/>
          <w:szCs w:val="20"/>
        </w:rPr>
        <w:t xml:space="preserve">%). </w:t>
      </w:r>
      <w:r w:rsidR="00EC22A9">
        <w:rPr>
          <w:rFonts w:ascii="Calibri" w:eastAsia="Calibri" w:hAnsi="Calibri" w:cs="Times New Roman"/>
          <w:i/>
          <w:iCs/>
          <w:color w:val="000000"/>
          <w:sz w:val="20"/>
          <w:szCs w:val="20"/>
        </w:rPr>
        <w:t xml:space="preserve">A pesar de ello, </w:t>
      </w:r>
      <w:r w:rsidRPr="00702A01">
        <w:rPr>
          <w:rFonts w:ascii="Calibri" w:eastAsia="Calibri" w:hAnsi="Calibri" w:cs="Times New Roman"/>
          <w:i/>
          <w:iCs/>
          <w:color w:val="000000"/>
          <w:sz w:val="20"/>
          <w:szCs w:val="20"/>
        </w:rPr>
        <w:t xml:space="preserve">la tasa interanual en nuestra región </w:t>
      </w:r>
      <w:r w:rsidR="00EC22A9">
        <w:rPr>
          <w:rFonts w:ascii="Calibri" w:eastAsia="Calibri" w:hAnsi="Calibri" w:cs="Times New Roman"/>
          <w:i/>
          <w:iCs/>
          <w:color w:val="000000"/>
          <w:sz w:val="20"/>
          <w:szCs w:val="20"/>
        </w:rPr>
        <w:t>aumenta en un 11</w:t>
      </w:r>
      <w:r w:rsidRPr="00702A01">
        <w:rPr>
          <w:rFonts w:ascii="Calibri" w:eastAsia="Calibri" w:hAnsi="Calibri" w:cs="Times New Roman"/>
          <w:i/>
          <w:iCs/>
          <w:color w:val="000000"/>
          <w:sz w:val="20"/>
          <w:szCs w:val="20"/>
        </w:rPr>
        <w:t>%</w:t>
      </w:r>
      <w:r w:rsidR="00EC22A9">
        <w:rPr>
          <w:rFonts w:ascii="Calibri" w:eastAsia="Calibri" w:hAnsi="Calibri" w:cs="Times New Roman"/>
          <w:i/>
          <w:iCs/>
          <w:color w:val="000000"/>
          <w:sz w:val="20"/>
          <w:szCs w:val="20"/>
        </w:rPr>
        <w:t xml:space="preserve"> </w:t>
      </w:r>
      <w:r w:rsidRPr="00702A01">
        <w:rPr>
          <w:rFonts w:ascii="Calibri" w:eastAsia="Calibri" w:hAnsi="Calibri" w:cs="Times New Roman"/>
          <w:i/>
          <w:iCs/>
          <w:color w:val="000000"/>
          <w:sz w:val="20"/>
          <w:szCs w:val="20"/>
        </w:rPr>
        <w:t>y la tasa de variación de la media en lo que va de año (+</w:t>
      </w:r>
      <w:r w:rsidR="00EC22A9">
        <w:rPr>
          <w:rFonts w:ascii="Calibri" w:eastAsia="Calibri" w:hAnsi="Calibri" w:cs="Times New Roman"/>
          <w:i/>
          <w:iCs/>
          <w:color w:val="000000"/>
          <w:sz w:val="20"/>
          <w:szCs w:val="20"/>
        </w:rPr>
        <w:t>9,1</w:t>
      </w:r>
      <w:r w:rsidRPr="00702A01">
        <w:rPr>
          <w:rFonts w:ascii="Calibri" w:eastAsia="Calibri" w:hAnsi="Calibri" w:cs="Times New Roman"/>
          <w:i/>
          <w:iCs/>
          <w:color w:val="000000"/>
          <w:sz w:val="20"/>
          <w:szCs w:val="20"/>
        </w:rPr>
        <w:t>%)</w:t>
      </w:r>
      <w:r w:rsidR="00A24A38">
        <w:rPr>
          <w:rFonts w:ascii="Calibri" w:eastAsia="Calibri" w:hAnsi="Calibri" w:cs="Times New Roman"/>
          <w:i/>
          <w:iCs/>
          <w:color w:val="000000"/>
          <w:sz w:val="20"/>
          <w:szCs w:val="20"/>
        </w:rPr>
        <w:t xml:space="preserve"> arroja</w:t>
      </w:r>
      <w:r w:rsidRPr="00702A01">
        <w:rPr>
          <w:rFonts w:ascii="Calibri" w:eastAsia="Calibri" w:hAnsi="Calibri" w:cs="Times New Roman"/>
          <w:i/>
          <w:iCs/>
          <w:color w:val="000000"/>
          <w:sz w:val="20"/>
          <w:szCs w:val="20"/>
        </w:rPr>
        <w:t xml:space="preserve"> el mayor aumento de todas las CCAA.</w:t>
      </w:r>
    </w:p>
    <w:p w14:paraId="705F11A7" w14:textId="77777777" w:rsidR="00702A01" w:rsidRPr="00702A01" w:rsidRDefault="00702A01" w:rsidP="00702A01">
      <w:pPr>
        <w:spacing w:line="256" w:lineRule="auto"/>
        <w:jc w:val="both"/>
        <w:rPr>
          <w:rFonts w:ascii="Calibri" w:eastAsia="Calibri" w:hAnsi="Calibri" w:cs="Times New Roman"/>
          <w:i/>
          <w:iCs/>
          <w:color w:val="000000"/>
          <w:sz w:val="20"/>
          <w:szCs w:val="20"/>
          <w:highlight w:val="yellow"/>
        </w:rPr>
      </w:pPr>
    </w:p>
    <w:p w14:paraId="0A35160D" w14:textId="77777777" w:rsidR="00702A01" w:rsidRPr="00702A01" w:rsidRDefault="00702A01" w:rsidP="00702A01">
      <w:pPr>
        <w:spacing w:line="256" w:lineRule="auto"/>
        <w:jc w:val="both"/>
        <w:rPr>
          <w:rFonts w:ascii="Calibri" w:eastAsia="Calibri" w:hAnsi="Calibri" w:cs="Times New Roman"/>
          <w:color w:val="000000"/>
          <w:sz w:val="20"/>
          <w:szCs w:val="20"/>
        </w:rPr>
      </w:pPr>
    </w:p>
    <w:p w14:paraId="319BB73B" w14:textId="77777777" w:rsidR="00702A01" w:rsidRPr="00702A01" w:rsidRDefault="00702A01" w:rsidP="00702A01">
      <w:pPr>
        <w:numPr>
          <w:ilvl w:val="0"/>
          <w:numId w:val="11"/>
        </w:numPr>
        <w:spacing w:line="256" w:lineRule="auto"/>
        <w:contextualSpacing/>
        <w:jc w:val="both"/>
        <w:rPr>
          <w:rFonts w:ascii="Calibri" w:eastAsia="Calibri" w:hAnsi="Calibri" w:cs="Times New Roman"/>
          <w:b/>
          <w:bCs/>
          <w:color w:val="000000"/>
          <w:sz w:val="20"/>
          <w:szCs w:val="20"/>
        </w:rPr>
      </w:pPr>
      <w:r w:rsidRPr="00702A01">
        <w:rPr>
          <w:rFonts w:ascii="Calibri" w:eastAsia="Calibri" w:hAnsi="Calibri" w:cs="Times New Roman"/>
          <w:b/>
          <w:bCs/>
          <w:color w:val="000000"/>
          <w:sz w:val="20"/>
          <w:szCs w:val="20"/>
        </w:rPr>
        <w:t>VARIACION MENSUAL</w:t>
      </w:r>
    </w:p>
    <w:p w14:paraId="3DD1295A" w14:textId="77777777" w:rsidR="00702A01" w:rsidRPr="00702A01" w:rsidRDefault="00702A01" w:rsidP="00702A01">
      <w:pPr>
        <w:spacing w:line="256" w:lineRule="auto"/>
        <w:ind w:left="708"/>
        <w:jc w:val="both"/>
        <w:rPr>
          <w:rFonts w:ascii="Calibri" w:eastAsia="Calibri" w:hAnsi="Calibri" w:cs="Times New Roman"/>
          <w:b/>
          <w:bCs/>
          <w:color w:val="000000"/>
          <w:sz w:val="24"/>
          <w:szCs w:val="24"/>
        </w:rPr>
      </w:pPr>
    </w:p>
    <w:p w14:paraId="1C2C3026" w14:textId="1D918A60" w:rsidR="00702A01" w:rsidRPr="00702A01" w:rsidRDefault="00DF7EA5" w:rsidP="00702A01">
      <w:pPr>
        <w:spacing w:line="256" w:lineRule="auto"/>
        <w:ind w:left="708"/>
        <w:jc w:val="both"/>
        <w:rPr>
          <w:rFonts w:ascii="Calibri" w:eastAsia="Calibri" w:hAnsi="Calibri" w:cs="Times New Roman"/>
          <w:b/>
          <w:bCs/>
          <w:color w:val="000000"/>
          <w:sz w:val="24"/>
          <w:szCs w:val="24"/>
        </w:rPr>
      </w:pPr>
      <w:r>
        <w:rPr>
          <w:rFonts w:ascii="Calibri" w:eastAsia="Calibri" w:hAnsi="Calibri" w:cs="Times New Roman"/>
          <w:b/>
          <w:bCs/>
          <w:noProof/>
          <w:color w:val="000000"/>
          <w:sz w:val="24"/>
          <w:szCs w:val="24"/>
        </w:rPr>
        <w:drawing>
          <wp:inline distT="0" distB="0" distL="0" distR="0" wp14:anchorId="4B192B4B" wp14:editId="5D7192DA">
            <wp:extent cx="6039392" cy="4047106"/>
            <wp:effectExtent l="0" t="0" r="0" b="0"/>
            <wp:docPr id="40564193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48472" cy="4053191"/>
                    </a:xfrm>
                    <a:prstGeom prst="rect">
                      <a:avLst/>
                    </a:prstGeom>
                    <a:noFill/>
                  </pic:spPr>
                </pic:pic>
              </a:graphicData>
            </a:graphic>
          </wp:inline>
        </w:drawing>
      </w:r>
    </w:p>
    <w:p w14:paraId="663FDC19" w14:textId="77777777" w:rsidR="00702A01" w:rsidRPr="00702A01" w:rsidRDefault="00702A01" w:rsidP="00702A01">
      <w:pPr>
        <w:spacing w:line="256" w:lineRule="auto"/>
        <w:ind w:left="708"/>
        <w:jc w:val="both"/>
        <w:rPr>
          <w:rFonts w:ascii="Calibri" w:eastAsia="Calibri" w:hAnsi="Calibri" w:cs="Times New Roman"/>
          <w:i/>
          <w:iCs/>
          <w:color w:val="000000"/>
          <w:sz w:val="16"/>
          <w:szCs w:val="16"/>
        </w:rPr>
      </w:pPr>
      <w:r w:rsidRPr="00702A01">
        <w:rPr>
          <w:rFonts w:ascii="Calibri" w:eastAsia="Calibri" w:hAnsi="Calibri" w:cs="Times New Roman"/>
          <w:i/>
          <w:iCs/>
          <w:color w:val="000000"/>
          <w:sz w:val="16"/>
          <w:szCs w:val="16"/>
        </w:rPr>
        <w:t>Gráfica 1. Tasa de variación mensual IPI por CCAA. Fuente: INE</w:t>
      </w:r>
    </w:p>
    <w:p w14:paraId="3AEB910F" w14:textId="77777777" w:rsidR="00702A01" w:rsidRPr="00702A01" w:rsidRDefault="00702A01" w:rsidP="00702A01">
      <w:pPr>
        <w:spacing w:line="256" w:lineRule="auto"/>
        <w:ind w:left="708"/>
        <w:jc w:val="both"/>
        <w:rPr>
          <w:rFonts w:ascii="Calibri" w:eastAsia="Calibri" w:hAnsi="Calibri" w:cs="Times New Roman"/>
          <w:i/>
          <w:iCs/>
          <w:color w:val="000000"/>
          <w:sz w:val="16"/>
          <w:szCs w:val="16"/>
        </w:rPr>
      </w:pPr>
    </w:p>
    <w:p w14:paraId="7A28CE74" w14:textId="231CBF64" w:rsidR="00702A01" w:rsidRPr="00702A01" w:rsidRDefault="00702A01" w:rsidP="00702A01">
      <w:pPr>
        <w:spacing w:line="256" w:lineRule="auto"/>
        <w:ind w:left="708"/>
        <w:jc w:val="both"/>
        <w:rPr>
          <w:rFonts w:ascii="Calibri" w:eastAsia="Calibri" w:hAnsi="Calibri" w:cs="Times New Roman"/>
          <w:color w:val="000000"/>
          <w:sz w:val="20"/>
          <w:szCs w:val="20"/>
        </w:rPr>
      </w:pPr>
      <w:r w:rsidRPr="00702A01">
        <w:rPr>
          <w:rFonts w:ascii="Calibri" w:eastAsia="Calibri" w:hAnsi="Calibri" w:cs="Times New Roman"/>
          <w:color w:val="000000"/>
          <w:sz w:val="20"/>
          <w:szCs w:val="20"/>
        </w:rPr>
        <w:t xml:space="preserve">Según las </w:t>
      </w:r>
      <w:r w:rsidRPr="00702A01">
        <w:rPr>
          <w:rFonts w:ascii="Calibri" w:eastAsia="Calibri" w:hAnsi="Calibri" w:cs="Calibri"/>
          <w:color w:val="000000"/>
          <w:sz w:val="20"/>
          <w:szCs w:val="20"/>
        </w:rPr>
        <w:t>cifras</w:t>
      </w:r>
      <w:r w:rsidRPr="00702A01">
        <w:rPr>
          <w:rFonts w:ascii="Calibri" w:eastAsia="Calibri" w:hAnsi="Calibri" w:cs="Times New Roman"/>
          <w:color w:val="000000"/>
          <w:sz w:val="20"/>
          <w:szCs w:val="20"/>
        </w:rPr>
        <w:t xml:space="preserve"> publicadas en la mañana de hoy por el Instituto Nacional de Estadística (INE), el Índice de Producción de Andalucía (11</w:t>
      </w:r>
      <w:r w:rsidR="00CB20F0">
        <w:rPr>
          <w:rFonts w:ascii="Calibri" w:eastAsia="Calibri" w:hAnsi="Calibri" w:cs="Times New Roman"/>
          <w:color w:val="000000"/>
          <w:sz w:val="20"/>
          <w:szCs w:val="20"/>
        </w:rPr>
        <w:t>0,7</w:t>
      </w:r>
      <w:r w:rsidRPr="00702A01">
        <w:rPr>
          <w:rFonts w:ascii="Calibri" w:eastAsia="Calibri" w:hAnsi="Calibri" w:cs="Times New Roman"/>
          <w:color w:val="000000"/>
          <w:sz w:val="20"/>
          <w:szCs w:val="20"/>
        </w:rPr>
        <w:t xml:space="preserve">), </w:t>
      </w:r>
      <w:r w:rsidR="00066415">
        <w:rPr>
          <w:rFonts w:ascii="Calibri" w:eastAsia="Calibri" w:hAnsi="Calibri" w:cs="Times New Roman"/>
          <w:color w:val="000000"/>
          <w:sz w:val="20"/>
          <w:szCs w:val="20"/>
        </w:rPr>
        <w:t>disminuye</w:t>
      </w:r>
      <w:r w:rsidRPr="00702A01">
        <w:rPr>
          <w:rFonts w:ascii="Calibri" w:eastAsia="Calibri" w:hAnsi="Calibri" w:cs="Times New Roman"/>
          <w:color w:val="000000"/>
          <w:sz w:val="20"/>
          <w:szCs w:val="20"/>
        </w:rPr>
        <w:t xml:space="preserve"> un </w:t>
      </w:r>
      <w:r w:rsidR="00066415">
        <w:rPr>
          <w:rFonts w:ascii="Calibri" w:eastAsia="Calibri" w:hAnsi="Calibri" w:cs="Times New Roman"/>
          <w:color w:val="000000"/>
          <w:sz w:val="20"/>
          <w:szCs w:val="20"/>
        </w:rPr>
        <w:t>8,1</w:t>
      </w:r>
      <w:r w:rsidRPr="00702A01">
        <w:rPr>
          <w:rFonts w:ascii="Calibri" w:eastAsia="Calibri" w:hAnsi="Calibri" w:cs="Times New Roman"/>
          <w:color w:val="000000"/>
          <w:sz w:val="20"/>
          <w:szCs w:val="20"/>
        </w:rPr>
        <w:t xml:space="preserve">% con respecto al valor de </w:t>
      </w:r>
      <w:r w:rsidR="00066415">
        <w:rPr>
          <w:rFonts w:ascii="Calibri" w:eastAsia="Calibri" w:hAnsi="Calibri" w:cs="Times New Roman"/>
          <w:color w:val="000000"/>
          <w:sz w:val="20"/>
          <w:szCs w:val="20"/>
        </w:rPr>
        <w:t>octubre</w:t>
      </w:r>
      <w:r w:rsidRPr="00702A01">
        <w:rPr>
          <w:rFonts w:ascii="Calibri" w:eastAsia="Calibri" w:hAnsi="Calibri" w:cs="Times New Roman"/>
          <w:color w:val="000000"/>
          <w:sz w:val="20"/>
          <w:szCs w:val="20"/>
        </w:rPr>
        <w:t xml:space="preserve"> (</w:t>
      </w:r>
      <w:r w:rsidR="00DF2E8C">
        <w:rPr>
          <w:rFonts w:ascii="Calibri" w:eastAsia="Calibri" w:hAnsi="Calibri" w:cs="Times New Roman"/>
          <w:color w:val="000000"/>
          <w:sz w:val="20"/>
          <w:szCs w:val="20"/>
        </w:rPr>
        <w:t>1</w:t>
      </w:r>
      <w:r w:rsidR="00066415">
        <w:rPr>
          <w:rFonts w:ascii="Calibri" w:eastAsia="Calibri" w:hAnsi="Calibri" w:cs="Times New Roman"/>
          <w:color w:val="000000"/>
          <w:sz w:val="20"/>
          <w:szCs w:val="20"/>
        </w:rPr>
        <w:t>20,5</w:t>
      </w:r>
      <w:r w:rsidRPr="00702A01">
        <w:rPr>
          <w:rFonts w:ascii="Calibri" w:eastAsia="Calibri" w:hAnsi="Calibri" w:cs="Times New Roman"/>
          <w:color w:val="000000"/>
          <w:sz w:val="20"/>
          <w:szCs w:val="20"/>
        </w:rPr>
        <w:t xml:space="preserve">) en un mes de </w:t>
      </w:r>
      <w:r w:rsidR="00066415">
        <w:rPr>
          <w:rFonts w:ascii="Calibri" w:eastAsia="Calibri" w:hAnsi="Calibri" w:cs="Times New Roman"/>
          <w:color w:val="000000"/>
          <w:sz w:val="20"/>
          <w:szCs w:val="20"/>
        </w:rPr>
        <w:t>noviembre</w:t>
      </w:r>
      <w:r w:rsidRPr="00702A01">
        <w:rPr>
          <w:rFonts w:ascii="Calibri" w:eastAsia="Calibri" w:hAnsi="Calibri" w:cs="Times New Roman"/>
          <w:color w:val="000000"/>
          <w:sz w:val="20"/>
          <w:szCs w:val="20"/>
        </w:rPr>
        <w:t xml:space="preserve"> en el que </w:t>
      </w:r>
      <w:r w:rsidRPr="00702A01">
        <w:rPr>
          <w:rFonts w:ascii="Calibri" w:eastAsia="Calibri" w:hAnsi="Calibri" w:cs="Times New Roman"/>
          <w:color w:val="000000"/>
          <w:sz w:val="20"/>
          <w:szCs w:val="20"/>
        </w:rPr>
        <w:lastRenderedPageBreak/>
        <w:t xml:space="preserve">se han producido </w:t>
      </w:r>
      <w:r w:rsidR="00E0046C">
        <w:rPr>
          <w:rFonts w:ascii="Calibri" w:eastAsia="Calibri" w:hAnsi="Calibri" w:cs="Times New Roman"/>
          <w:color w:val="000000"/>
          <w:sz w:val="20"/>
          <w:szCs w:val="20"/>
        </w:rPr>
        <w:t>decrementos</w:t>
      </w:r>
      <w:r w:rsidRPr="00702A01">
        <w:rPr>
          <w:rFonts w:ascii="Calibri" w:eastAsia="Calibri" w:hAnsi="Calibri" w:cs="Times New Roman"/>
          <w:color w:val="000000"/>
          <w:sz w:val="20"/>
          <w:szCs w:val="20"/>
        </w:rPr>
        <w:t xml:space="preserve"> en el índice de la producción industrial en prácticamente </w:t>
      </w:r>
      <w:r w:rsidR="00DF2E8C">
        <w:rPr>
          <w:rFonts w:ascii="Calibri" w:eastAsia="Calibri" w:hAnsi="Calibri" w:cs="Times New Roman"/>
          <w:color w:val="000000"/>
          <w:sz w:val="20"/>
          <w:szCs w:val="20"/>
        </w:rPr>
        <w:t>todas</w:t>
      </w:r>
      <w:r w:rsidRPr="00702A01">
        <w:rPr>
          <w:rFonts w:ascii="Calibri" w:eastAsia="Calibri" w:hAnsi="Calibri" w:cs="Times New Roman"/>
          <w:color w:val="000000"/>
          <w:sz w:val="20"/>
          <w:szCs w:val="20"/>
        </w:rPr>
        <w:t xml:space="preserve"> las Comunicades Autónomas</w:t>
      </w:r>
      <w:r w:rsidR="00DF2E8C">
        <w:rPr>
          <w:rFonts w:ascii="Calibri" w:eastAsia="Calibri" w:hAnsi="Calibri" w:cs="Times New Roman"/>
          <w:color w:val="000000"/>
          <w:sz w:val="20"/>
          <w:szCs w:val="20"/>
        </w:rPr>
        <w:t>, con las excepciones de Aragón</w:t>
      </w:r>
      <w:r w:rsidR="00E0046C">
        <w:rPr>
          <w:rFonts w:ascii="Calibri" w:eastAsia="Calibri" w:hAnsi="Calibri" w:cs="Times New Roman"/>
          <w:color w:val="000000"/>
          <w:sz w:val="20"/>
          <w:szCs w:val="20"/>
        </w:rPr>
        <w:t xml:space="preserve"> y Extremadura.</w:t>
      </w:r>
    </w:p>
    <w:p w14:paraId="0A852876" w14:textId="5D37724B" w:rsidR="00702A01" w:rsidRPr="00702A01" w:rsidRDefault="00702A01" w:rsidP="00702A01">
      <w:pPr>
        <w:spacing w:line="256" w:lineRule="auto"/>
        <w:ind w:left="708"/>
        <w:jc w:val="both"/>
        <w:rPr>
          <w:rFonts w:ascii="Calibri" w:eastAsia="Calibri" w:hAnsi="Calibri" w:cs="Times New Roman"/>
          <w:color w:val="000000"/>
          <w:sz w:val="20"/>
          <w:szCs w:val="20"/>
        </w:rPr>
      </w:pPr>
      <w:r w:rsidRPr="00702A01">
        <w:rPr>
          <w:rFonts w:ascii="Calibri" w:eastAsia="Calibri" w:hAnsi="Calibri" w:cs="Times New Roman"/>
          <w:color w:val="000000"/>
          <w:sz w:val="20"/>
          <w:szCs w:val="20"/>
        </w:rPr>
        <w:t xml:space="preserve">La media estatal </w:t>
      </w:r>
      <w:r w:rsidR="004936F9">
        <w:rPr>
          <w:rFonts w:ascii="Calibri" w:eastAsia="Calibri" w:hAnsi="Calibri" w:cs="Times New Roman"/>
          <w:color w:val="000000"/>
          <w:sz w:val="20"/>
          <w:szCs w:val="20"/>
        </w:rPr>
        <w:t>disminuye</w:t>
      </w:r>
      <w:r w:rsidRPr="00702A01">
        <w:rPr>
          <w:rFonts w:ascii="Calibri" w:eastAsia="Calibri" w:hAnsi="Calibri" w:cs="Times New Roman"/>
          <w:color w:val="000000"/>
          <w:sz w:val="20"/>
          <w:szCs w:val="20"/>
        </w:rPr>
        <w:t xml:space="preserve"> </w:t>
      </w:r>
      <w:r w:rsidR="00DF2E8C">
        <w:rPr>
          <w:rFonts w:ascii="Calibri" w:eastAsia="Calibri" w:hAnsi="Calibri" w:cs="Times New Roman"/>
          <w:color w:val="000000"/>
          <w:sz w:val="20"/>
          <w:szCs w:val="20"/>
        </w:rPr>
        <w:t>también</w:t>
      </w:r>
      <w:r w:rsidRPr="00702A01">
        <w:rPr>
          <w:rFonts w:ascii="Calibri" w:eastAsia="Calibri" w:hAnsi="Calibri" w:cs="Times New Roman"/>
          <w:color w:val="000000"/>
          <w:sz w:val="20"/>
          <w:szCs w:val="20"/>
        </w:rPr>
        <w:t xml:space="preserve"> con respecto al pasado mes de</w:t>
      </w:r>
      <w:r w:rsidR="004936F9">
        <w:rPr>
          <w:rFonts w:ascii="Calibri" w:eastAsia="Calibri" w:hAnsi="Calibri" w:cs="Times New Roman"/>
          <w:color w:val="000000"/>
          <w:sz w:val="20"/>
          <w:szCs w:val="20"/>
        </w:rPr>
        <w:t xml:space="preserve"> octubre</w:t>
      </w:r>
      <w:r w:rsidRPr="00702A01">
        <w:rPr>
          <w:rFonts w:ascii="Calibri" w:eastAsia="Calibri" w:hAnsi="Calibri" w:cs="Times New Roman"/>
          <w:color w:val="000000"/>
          <w:sz w:val="20"/>
          <w:szCs w:val="20"/>
        </w:rPr>
        <w:t xml:space="preserve"> en un </w:t>
      </w:r>
      <w:r w:rsidR="004936F9">
        <w:rPr>
          <w:rFonts w:ascii="Calibri" w:eastAsia="Calibri" w:hAnsi="Calibri" w:cs="Times New Roman"/>
          <w:color w:val="000000"/>
          <w:sz w:val="20"/>
          <w:szCs w:val="20"/>
        </w:rPr>
        <w:t>5,7</w:t>
      </w:r>
      <w:r w:rsidRPr="00702A01">
        <w:rPr>
          <w:rFonts w:ascii="Calibri" w:eastAsia="Calibri" w:hAnsi="Calibri" w:cs="Times New Roman"/>
          <w:color w:val="000000"/>
          <w:sz w:val="20"/>
          <w:szCs w:val="20"/>
        </w:rPr>
        <w:t xml:space="preserve">%, </w:t>
      </w:r>
      <w:r w:rsidR="004936F9">
        <w:rPr>
          <w:rFonts w:ascii="Calibri" w:eastAsia="Calibri" w:hAnsi="Calibri" w:cs="Times New Roman"/>
          <w:color w:val="000000"/>
          <w:sz w:val="20"/>
          <w:szCs w:val="20"/>
        </w:rPr>
        <w:t>2,4</w:t>
      </w:r>
      <w:r w:rsidRPr="00702A01">
        <w:rPr>
          <w:rFonts w:ascii="Calibri" w:eastAsia="Calibri" w:hAnsi="Calibri" w:cs="Times New Roman"/>
          <w:color w:val="000000"/>
          <w:sz w:val="20"/>
          <w:szCs w:val="20"/>
        </w:rPr>
        <w:t xml:space="preserve"> puntos por </w:t>
      </w:r>
      <w:r w:rsidR="004936F9">
        <w:rPr>
          <w:rFonts w:ascii="Calibri" w:eastAsia="Calibri" w:hAnsi="Calibri" w:cs="Times New Roman"/>
          <w:color w:val="000000"/>
          <w:sz w:val="20"/>
          <w:szCs w:val="20"/>
        </w:rPr>
        <w:t>encima</w:t>
      </w:r>
      <w:r w:rsidRPr="00702A01">
        <w:rPr>
          <w:rFonts w:ascii="Calibri" w:eastAsia="Calibri" w:hAnsi="Calibri" w:cs="Times New Roman"/>
          <w:color w:val="000000"/>
          <w:sz w:val="20"/>
          <w:szCs w:val="20"/>
        </w:rPr>
        <w:t xml:space="preserve"> del dato andaluz. Entre las Comunidades Autónomas con un mayor </w:t>
      </w:r>
      <w:r w:rsidR="004936F9">
        <w:rPr>
          <w:rFonts w:ascii="Calibri" w:eastAsia="Calibri" w:hAnsi="Calibri" w:cs="Times New Roman"/>
          <w:color w:val="000000"/>
          <w:sz w:val="20"/>
          <w:szCs w:val="20"/>
        </w:rPr>
        <w:t>descenso</w:t>
      </w:r>
      <w:r w:rsidRPr="00702A01">
        <w:rPr>
          <w:rFonts w:ascii="Calibri" w:eastAsia="Calibri" w:hAnsi="Calibri" w:cs="Times New Roman"/>
          <w:color w:val="000000"/>
          <w:sz w:val="20"/>
          <w:szCs w:val="20"/>
        </w:rPr>
        <w:t xml:space="preserve"> mensual destacar principalmente a </w:t>
      </w:r>
      <w:r w:rsidR="004936F9">
        <w:rPr>
          <w:rFonts w:ascii="Calibri" w:eastAsia="Calibri" w:hAnsi="Calibri" w:cs="Times New Roman"/>
          <w:color w:val="000000"/>
          <w:sz w:val="20"/>
          <w:szCs w:val="20"/>
        </w:rPr>
        <w:t>Baleares</w:t>
      </w:r>
      <w:r w:rsidRPr="00702A01">
        <w:rPr>
          <w:rFonts w:ascii="Calibri" w:eastAsia="Calibri" w:hAnsi="Calibri" w:cs="Times New Roman"/>
          <w:color w:val="000000"/>
          <w:sz w:val="20"/>
          <w:szCs w:val="20"/>
        </w:rPr>
        <w:t xml:space="preserve"> (</w:t>
      </w:r>
      <w:r w:rsidR="004936F9">
        <w:rPr>
          <w:rFonts w:ascii="Calibri" w:eastAsia="Calibri" w:hAnsi="Calibri" w:cs="Times New Roman"/>
          <w:color w:val="000000"/>
          <w:sz w:val="20"/>
          <w:szCs w:val="20"/>
        </w:rPr>
        <w:t>-14,3</w:t>
      </w:r>
      <w:r w:rsidRPr="00702A01">
        <w:rPr>
          <w:rFonts w:ascii="Calibri" w:eastAsia="Calibri" w:hAnsi="Calibri" w:cs="Times New Roman"/>
          <w:color w:val="000000"/>
          <w:sz w:val="20"/>
          <w:szCs w:val="20"/>
        </w:rPr>
        <w:t>%)</w:t>
      </w:r>
      <w:r w:rsidR="004936F9">
        <w:rPr>
          <w:rFonts w:ascii="Calibri" w:eastAsia="Calibri" w:hAnsi="Calibri" w:cs="Times New Roman"/>
          <w:color w:val="000000"/>
          <w:sz w:val="20"/>
          <w:szCs w:val="20"/>
        </w:rPr>
        <w:t xml:space="preserve"> y</w:t>
      </w:r>
      <w:r w:rsidRPr="00702A01">
        <w:rPr>
          <w:rFonts w:ascii="Calibri" w:eastAsia="Calibri" w:hAnsi="Calibri" w:cs="Times New Roman"/>
          <w:color w:val="000000"/>
          <w:sz w:val="20"/>
          <w:szCs w:val="20"/>
        </w:rPr>
        <w:t xml:space="preserve"> </w:t>
      </w:r>
      <w:r w:rsidR="00DF2E8C">
        <w:rPr>
          <w:rFonts w:ascii="Calibri" w:eastAsia="Calibri" w:hAnsi="Calibri" w:cs="Times New Roman"/>
          <w:color w:val="000000"/>
          <w:sz w:val="20"/>
          <w:szCs w:val="20"/>
        </w:rPr>
        <w:t>La Rioja</w:t>
      </w:r>
      <w:r w:rsidRPr="00702A01">
        <w:rPr>
          <w:rFonts w:ascii="Calibri" w:eastAsia="Calibri" w:hAnsi="Calibri" w:cs="Times New Roman"/>
          <w:color w:val="000000"/>
          <w:sz w:val="20"/>
          <w:szCs w:val="20"/>
        </w:rPr>
        <w:t xml:space="preserve"> (</w:t>
      </w:r>
      <w:r w:rsidR="004936F9">
        <w:rPr>
          <w:rFonts w:ascii="Calibri" w:eastAsia="Calibri" w:hAnsi="Calibri" w:cs="Times New Roman"/>
          <w:color w:val="000000"/>
          <w:sz w:val="20"/>
          <w:szCs w:val="20"/>
        </w:rPr>
        <w:t>-</w:t>
      </w:r>
      <w:r w:rsidR="00DF2E8C">
        <w:rPr>
          <w:rFonts w:ascii="Calibri" w:eastAsia="Calibri" w:hAnsi="Calibri" w:cs="Times New Roman"/>
          <w:color w:val="000000"/>
          <w:sz w:val="20"/>
          <w:szCs w:val="20"/>
        </w:rPr>
        <w:t>1</w:t>
      </w:r>
      <w:r w:rsidR="004936F9">
        <w:rPr>
          <w:rFonts w:ascii="Calibri" w:eastAsia="Calibri" w:hAnsi="Calibri" w:cs="Times New Roman"/>
          <w:color w:val="000000"/>
          <w:sz w:val="20"/>
          <w:szCs w:val="20"/>
        </w:rPr>
        <w:t>3</w:t>
      </w:r>
      <w:r w:rsidR="00DF2E8C">
        <w:rPr>
          <w:rFonts w:ascii="Calibri" w:eastAsia="Calibri" w:hAnsi="Calibri" w:cs="Times New Roman"/>
          <w:color w:val="000000"/>
          <w:sz w:val="20"/>
          <w:szCs w:val="20"/>
        </w:rPr>
        <w:t>,5</w:t>
      </w:r>
      <w:r w:rsidRPr="00702A01">
        <w:rPr>
          <w:rFonts w:ascii="Calibri" w:eastAsia="Calibri" w:hAnsi="Calibri" w:cs="Times New Roman"/>
          <w:color w:val="000000"/>
          <w:sz w:val="20"/>
          <w:szCs w:val="20"/>
        </w:rPr>
        <w:t xml:space="preserve">%). </w:t>
      </w:r>
    </w:p>
    <w:p w14:paraId="316DF522" w14:textId="2DE1C001" w:rsidR="00702A01" w:rsidRPr="00702A01" w:rsidRDefault="00702A01" w:rsidP="00702A01">
      <w:pPr>
        <w:spacing w:line="256" w:lineRule="auto"/>
        <w:ind w:left="708"/>
        <w:jc w:val="both"/>
        <w:rPr>
          <w:rFonts w:ascii="Calibri" w:eastAsia="Calibri" w:hAnsi="Calibri" w:cs="Times New Roman"/>
          <w:sz w:val="20"/>
          <w:szCs w:val="20"/>
        </w:rPr>
      </w:pPr>
      <w:bookmarkStart w:id="0" w:name="_Hlk187396410"/>
      <w:r w:rsidRPr="00702A01">
        <w:rPr>
          <w:rFonts w:ascii="Calibri" w:eastAsia="Calibri" w:hAnsi="Calibri" w:cs="Times New Roman"/>
          <w:sz w:val="20"/>
          <w:szCs w:val="20"/>
        </w:rPr>
        <w:t xml:space="preserve">Por el contrario, la Comunidad Autónoma que presenta un mayor </w:t>
      </w:r>
      <w:r w:rsidR="006B7BBE">
        <w:rPr>
          <w:rFonts w:ascii="Calibri" w:eastAsia="Calibri" w:hAnsi="Calibri" w:cs="Times New Roman"/>
          <w:sz w:val="20"/>
          <w:szCs w:val="20"/>
        </w:rPr>
        <w:t>incremento</w:t>
      </w:r>
      <w:r w:rsidRPr="00702A01">
        <w:rPr>
          <w:rFonts w:ascii="Calibri" w:eastAsia="Calibri" w:hAnsi="Calibri" w:cs="Times New Roman"/>
          <w:sz w:val="20"/>
          <w:szCs w:val="20"/>
        </w:rPr>
        <w:t xml:space="preserve"> es </w:t>
      </w:r>
      <w:r w:rsidR="006B7BBE">
        <w:rPr>
          <w:rFonts w:ascii="Calibri" w:eastAsia="Calibri" w:hAnsi="Calibri" w:cs="Times New Roman"/>
          <w:sz w:val="20"/>
          <w:szCs w:val="20"/>
        </w:rPr>
        <w:t>Extremadura</w:t>
      </w:r>
      <w:r w:rsidRPr="00702A01">
        <w:rPr>
          <w:rFonts w:ascii="Calibri" w:eastAsia="Calibri" w:hAnsi="Calibri" w:cs="Times New Roman"/>
          <w:sz w:val="20"/>
          <w:szCs w:val="20"/>
        </w:rPr>
        <w:t xml:space="preserve"> (</w:t>
      </w:r>
      <w:r w:rsidR="006B7BBE">
        <w:rPr>
          <w:rFonts w:ascii="Calibri" w:eastAsia="Calibri" w:hAnsi="Calibri" w:cs="Times New Roman"/>
          <w:sz w:val="20"/>
          <w:szCs w:val="20"/>
        </w:rPr>
        <w:t>+2,9</w:t>
      </w:r>
      <w:r w:rsidRPr="00702A01">
        <w:rPr>
          <w:rFonts w:ascii="Calibri" w:eastAsia="Calibri" w:hAnsi="Calibri" w:cs="Times New Roman"/>
          <w:sz w:val="20"/>
          <w:szCs w:val="20"/>
        </w:rPr>
        <w:t>%).</w:t>
      </w:r>
    </w:p>
    <w:p w14:paraId="6261F104" w14:textId="6468A184" w:rsidR="00702A01" w:rsidRPr="00702A01" w:rsidRDefault="00702A01" w:rsidP="00702A01">
      <w:pPr>
        <w:spacing w:line="256" w:lineRule="auto"/>
        <w:ind w:left="708"/>
        <w:jc w:val="both"/>
        <w:rPr>
          <w:rFonts w:ascii="Calibri" w:eastAsia="Calibri" w:hAnsi="Calibri" w:cs="Times New Roman"/>
          <w:sz w:val="20"/>
          <w:szCs w:val="20"/>
        </w:rPr>
      </w:pPr>
      <w:r w:rsidRPr="00702A01">
        <w:rPr>
          <w:rFonts w:ascii="Calibri" w:eastAsia="Calibri" w:hAnsi="Calibri" w:cs="Times New Roman"/>
          <w:sz w:val="20"/>
          <w:szCs w:val="20"/>
        </w:rPr>
        <w:t xml:space="preserve">Este </w:t>
      </w:r>
      <w:r w:rsidR="001C7A23">
        <w:rPr>
          <w:rFonts w:ascii="Calibri" w:eastAsia="Calibri" w:hAnsi="Calibri" w:cs="Times New Roman"/>
          <w:sz w:val="20"/>
          <w:szCs w:val="20"/>
        </w:rPr>
        <w:t>decremento</w:t>
      </w:r>
      <w:r w:rsidRPr="00702A01">
        <w:rPr>
          <w:rFonts w:ascii="Calibri" w:eastAsia="Calibri" w:hAnsi="Calibri" w:cs="Times New Roman"/>
          <w:sz w:val="20"/>
          <w:szCs w:val="20"/>
        </w:rPr>
        <w:t xml:space="preserve"> mensual en Andalucía se produce, principalmente, por </w:t>
      </w:r>
      <w:r w:rsidR="001C7A23">
        <w:rPr>
          <w:rFonts w:ascii="Calibri" w:eastAsia="Calibri" w:hAnsi="Calibri" w:cs="Times New Roman"/>
          <w:sz w:val="20"/>
          <w:szCs w:val="20"/>
        </w:rPr>
        <w:t>la fuerte disminución</w:t>
      </w:r>
      <w:r w:rsidRPr="00702A01">
        <w:rPr>
          <w:rFonts w:ascii="Calibri" w:eastAsia="Calibri" w:hAnsi="Calibri" w:cs="Times New Roman"/>
          <w:sz w:val="20"/>
          <w:szCs w:val="20"/>
        </w:rPr>
        <w:t xml:space="preserve"> en la producción de </w:t>
      </w:r>
      <w:r w:rsidR="008D6F45">
        <w:rPr>
          <w:rFonts w:ascii="Calibri" w:eastAsia="Calibri" w:hAnsi="Calibri" w:cs="Times New Roman"/>
          <w:sz w:val="20"/>
          <w:szCs w:val="20"/>
        </w:rPr>
        <w:t xml:space="preserve">Bienes de Consumo Duradero </w:t>
      </w:r>
      <w:r w:rsidR="001C7A23">
        <w:rPr>
          <w:rFonts w:ascii="Calibri" w:eastAsia="Calibri" w:hAnsi="Calibri" w:cs="Times New Roman"/>
          <w:sz w:val="20"/>
          <w:szCs w:val="20"/>
        </w:rPr>
        <w:t>(-9</w:t>
      </w:r>
      <w:r w:rsidR="008D6F45">
        <w:rPr>
          <w:rFonts w:ascii="Calibri" w:eastAsia="Calibri" w:hAnsi="Calibri" w:cs="Times New Roman"/>
          <w:sz w:val="20"/>
          <w:szCs w:val="20"/>
        </w:rPr>
        <w:t>%)</w:t>
      </w:r>
      <w:r w:rsidR="001C7A23">
        <w:rPr>
          <w:rFonts w:ascii="Calibri" w:eastAsia="Calibri" w:hAnsi="Calibri" w:cs="Times New Roman"/>
          <w:sz w:val="20"/>
          <w:szCs w:val="20"/>
        </w:rPr>
        <w:t>, Bienes Intermedios (-10,5%) y Energía (-10,3%).</w:t>
      </w:r>
    </w:p>
    <w:bookmarkEnd w:id="0"/>
    <w:p w14:paraId="62681439" w14:textId="77777777" w:rsidR="00702A01" w:rsidRPr="00702A01" w:rsidRDefault="00702A01" w:rsidP="00702A01">
      <w:pPr>
        <w:spacing w:line="256" w:lineRule="auto"/>
        <w:ind w:left="708"/>
        <w:jc w:val="both"/>
        <w:rPr>
          <w:rFonts w:ascii="Calibri" w:eastAsia="Calibri" w:hAnsi="Calibri" w:cs="Times New Roman"/>
          <w:color w:val="000000"/>
          <w:sz w:val="20"/>
          <w:szCs w:val="20"/>
        </w:rPr>
      </w:pPr>
    </w:p>
    <w:p w14:paraId="4DDCAC84" w14:textId="77777777" w:rsidR="00702A01" w:rsidRPr="00702A01" w:rsidRDefault="00702A01" w:rsidP="00702A01">
      <w:pPr>
        <w:spacing w:line="256" w:lineRule="auto"/>
        <w:ind w:left="708"/>
        <w:jc w:val="both"/>
        <w:rPr>
          <w:rFonts w:ascii="Calibri" w:eastAsia="Calibri" w:hAnsi="Calibri" w:cs="Times New Roman"/>
          <w:b/>
          <w:bCs/>
          <w:color w:val="000000"/>
          <w:sz w:val="20"/>
          <w:szCs w:val="20"/>
        </w:rPr>
      </w:pPr>
      <w:r w:rsidRPr="00702A01">
        <w:rPr>
          <w:rFonts w:ascii="Calibri" w:eastAsia="Calibri" w:hAnsi="Calibri" w:cs="Times New Roman"/>
          <w:b/>
          <w:bCs/>
          <w:color w:val="000000"/>
          <w:sz w:val="20"/>
          <w:szCs w:val="20"/>
        </w:rPr>
        <w:t>VARIACIÓN INTERANUAL</w:t>
      </w:r>
    </w:p>
    <w:p w14:paraId="25D32DAE" w14:textId="77777777" w:rsidR="00702A01" w:rsidRPr="00702A01" w:rsidRDefault="00702A01" w:rsidP="00702A01">
      <w:pPr>
        <w:spacing w:line="256" w:lineRule="auto"/>
        <w:ind w:left="1428"/>
        <w:contextualSpacing/>
        <w:jc w:val="both"/>
        <w:rPr>
          <w:rFonts w:ascii="Calibri" w:eastAsia="Calibri" w:hAnsi="Calibri" w:cs="Times New Roman"/>
          <w:b/>
          <w:bCs/>
          <w:color w:val="000000"/>
          <w:sz w:val="24"/>
          <w:szCs w:val="24"/>
        </w:rPr>
      </w:pPr>
    </w:p>
    <w:p w14:paraId="318C2B01" w14:textId="79D40533" w:rsidR="00702A01" w:rsidRPr="00702A01" w:rsidRDefault="00DF7EA5" w:rsidP="00702A01">
      <w:pPr>
        <w:spacing w:line="256" w:lineRule="auto"/>
        <w:ind w:left="708"/>
        <w:jc w:val="both"/>
        <w:rPr>
          <w:rFonts w:ascii="Calibri" w:eastAsia="Calibri" w:hAnsi="Calibri" w:cs="Times New Roman"/>
          <w:b/>
          <w:bCs/>
          <w:color w:val="000000"/>
          <w:sz w:val="24"/>
          <w:szCs w:val="24"/>
        </w:rPr>
      </w:pPr>
      <w:r>
        <w:rPr>
          <w:rFonts w:ascii="Calibri" w:eastAsia="Calibri" w:hAnsi="Calibri" w:cs="Times New Roman"/>
          <w:b/>
          <w:bCs/>
          <w:noProof/>
          <w:color w:val="000000"/>
          <w:sz w:val="24"/>
          <w:szCs w:val="24"/>
        </w:rPr>
        <w:drawing>
          <wp:inline distT="0" distB="0" distL="0" distR="0" wp14:anchorId="3B35AAFD" wp14:editId="37AED070">
            <wp:extent cx="5909481" cy="3721504"/>
            <wp:effectExtent l="0" t="0" r="0" b="0"/>
            <wp:docPr id="157840341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22148" cy="3729481"/>
                    </a:xfrm>
                    <a:prstGeom prst="rect">
                      <a:avLst/>
                    </a:prstGeom>
                    <a:noFill/>
                  </pic:spPr>
                </pic:pic>
              </a:graphicData>
            </a:graphic>
          </wp:inline>
        </w:drawing>
      </w:r>
    </w:p>
    <w:p w14:paraId="695A8114" w14:textId="77777777" w:rsidR="00702A01" w:rsidRPr="00702A01" w:rsidRDefault="00702A01" w:rsidP="00702A01">
      <w:pPr>
        <w:spacing w:line="256" w:lineRule="auto"/>
        <w:ind w:left="708"/>
        <w:jc w:val="both"/>
        <w:rPr>
          <w:rFonts w:ascii="Calibri" w:eastAsia="Calibri" w:hAnsi="Calibri" w:cs="Times New Roman"/>
          <w:i/>
          <w:iCs/>
          <w:color w:val="000000"/>
          <w:sz w:val="16"/>
          <w:szCs w:val="16"/>
        </w:rPr>
      </w:pPr>
      <w:r w:rsidRPr="00702A01">
        <w:rPr>
          <w:rFonts w:ascii="Calibri" w:eastAsia="Calibri" w:hAnsi="Calibri" w:cs="Times New Roman"/>
          <w:i/>
          <w:iCs/>
          <w:color w:val="000000"/>
          <w:sz w:val="16"/>
          <w:szCs w:val="16"/>
        </w:rPr>
        <w:t>Gráfica 2. Tasa de Variación Interanual IPI por CCAA. Fuente: INE</w:t>
      </w:r>
    </w:p>
    <w:p w14:paraId="5016D38D" w14:textId="77777777" w:rsidR="00702A01" w:rsidRPr="00702A01" w:rsidRDefault="00702A01" w:rsidP="00702A01">
      <w:pPr>
        <w:spacing w:line="256" w:lineRule="auto"/>
        <w:ind w:left="708"/>
        <w:jc w:val="both"/>
        <w:rPr>
          <w:rFonts w:ascii="Calibri" w:eastAsia="Calibri" w:hAnsi="Calibri" w:cs="Times New Roman"/>
          <w:i/>
          <w:iCs/>
          <w:color w:val="000000"/>
          <w:sz w:val="16"/>
          <w:szCs w:val="16"/>
        </w:rPr>
      </w:pPr>
    </w:p>
    <w:p w14:paraId="16BEA8A9" w14:textId="3076B59A" w:rsidR="00702A01" w:rsidRPr="00702A01" w:rsidRDefault="00702A01" w:rsidP="00702A01">
      <w:pPr>
        <w:spacing w:line="256" w:lineRule="auto"/>
        <w:ind w:left="708"/>
        <w:jc w:val="both"/>
        <w:rPr>
          <w:rFonts w:ascii="Calibri" w:eastAsia="Calibri" w:hAnsi="Calibri" w:cs="Times New Roman"/>
          <w:color w:val="000000"/>
          <w:sz w:val="20"/>
          <w:szCs w:val="20"/>
        </w:rPr>
      </w:pPr>
      <w:r w:rsidRPr="00702A01">
        <w:rPr>
          <w:rFonts w:ascii="Calibri" w:eastAsia="Calibri" w:hAnsi="Calibri" w:cs="Times New Roman"/>
          <w:color w:val="000000"/>
          <w:sz w:val="20"/>
          <w:szCs w:val="20"/>
        </w:rPr>
        <w:t>En cuanto a los datos interanuales</w:t>
      </w:r>
      <w:r w:rsidR="0055225B">
        <w:rPr>
          <w:rFonts w:ascii="Calibri" w:eastAsia="Calibri" w:hAnsi="Calibri" w:cs="Times New Roman"/>
          <w:color w:val="000000"/>
          <w:sz w:val="20"/>
          <w:szCs w:val="20"/>
        </w:rPr>
        <w:t>,</w:t>
      </w:r>
      <w:r w:rsidR="00A46E29">
        <w:rPr>
          <w:rFonts w:ascii="Calibri" w:eastAsia="Calibri" w:hAnsi="Calibri" w:cs="Times New Roman"/>
          <w:color w:val="000000"/>
          <w:sz w:val="20"/>
          <w:szCs w:val="20"/>
        </w:rPr>
        <w:t xml:space="preserve"> Andalucía (+11%)</w:t>
      </w:r>
      <w:r w:rsidR="0055225B">
        <w:rPr>
          <w:rFonts w:ascii="Calibri" w:eastAsia="Calibri" w:hAnsi="Calibri" w:cs="Times New Roman"/>
          <w:color w:val="000000"/>
          <w:sz w:val="20"/>
          <w:szCs w:val="20"/>
        </w:rPr>
        <w:t xml:space="preserve"> es la segunda Comunidad Autónoma con mayor incremento </w:t>
      </w:r>
      <w:r w:rsidRPr="00702A01">
        <w:rPr>
          <w:rFonts w:ascii="Calibri" w:eastAsia="Calibri" w:hAnsi="Calibri" w:cs="Times New Roman"/>
          <w:color w:val="000000"/>
          <w:sz w:val="20"/>
          <w:szCs w:val="20"/>
        </w:rPr>
        <w:t xml:space="preserve">respecto a </w:t>
      </w:r>
      <w:r w:rsidR="00A46E29">
        <w:rPr>
          <w:rFonts w:ascii="Calibri" w:eastAsia="Calibri" w:hAnsi="Calibri" w:cs="Times New Roman"/>
          <w:color w:val="000000"/>
          <w:sz w:val="20"/>
          <w:szCs w:val="20"/>
        </w:rPr>
        <w:t>noviembre</w:t>
      </w:r>
      <w:r w:rsidRPr="00702A01">
        <w:rPr>
          <w:rFonts w:ascii="Calibri" w:eastAsia="Calibri" w:hAnsi="Calibri" w:cs="Times New Roman"/>
          <w:color w:val="000000"/>
          <w:sz w:val="20"/>
          <w:szCs w:val="20"/>
        </w:rPr>
        <w:t xml:space="preserve"> de 2024</w:t>
      </w:r>
      <w:r w:rsidR="0055225B">
        <w:rPr>
          <w:rFonts w:ascii="Calibri" w:eastAsia="Calibri" w:hAnsi="Calibri" w:cs="Times New Roman"/>
          <w:color w:val="000000"/>
          <w:sz w:val="20"/>
          <w:szCs w:val="20"/>
        </w:rPr>
        <w:t xml:space="preserve"> tras Castilla y León (+1</w:t>
      </w:r>
      <w:r w:rsidR="00A46E29">
        <w:rPr>
          <w:rFonts w:ascii="Calibri" w:eastAsia="Calibri" w:hAnsi="Calibri" w:cs="Times New Roman"/>
          <w:color w:val="000000"/>
          <w:sz w:val="20"/>
          <w:szCs w:val="20"/>
        </w:rPr>
        <w:t>2,8</w:t>
      </w:r>
      <w:r w:rsidR="0055225B">
        <w:rPr>
          <w:rFonts w:ascii="Calibri" w:eastAsia="Calibri" w:hAnsi="Calibri" w:cs="Times New Roman"/>
          <w:color w:val="000000"/>
          <w:sz w:val="20"/>
          <w:szCs w:val="20"/>
        </w:rPr>
        <w:t xml:space="preserve">%), </w:t>
      </w:r>
      <w:r w:rsidRPr="00702A01">
        <w:rPr>
          <w:rFonts w:ascii="Calibri" w:eastAsia="Calibri" w:hAnsi="Calibri" w:cs="Times New Roman"/>
          <w:color w:val="000000"/>
          <w:sz w:val="20"/>
          <w:szCs w:val="20"/>
        </w:rPr>
        <w:t>muy por encima de la media estatal (+</w:t>
      </w:r>
      <w:r w:rsidR="00A46E29">
        <w:rPr>
          <w:rFonts w:ascii="Calibri" w:eastAsia="Calibri" w:hAnsi="Calibri" w:cs="Times New Roman"/>
          <w:color w:val="000000"/>
          <w:sz w:val="20"/>
          <w:szCs w:val="20"/>
        </w:rPr>
        <w:t>1,8</w:t>
      </w:r>
      <w:r w:rsidRPr="00702A01">
        <w:rPr>
          <w:rFonts w:ascii="Calibri" w:eastAsia="Calibri" w:hAnsi="Calibri" w:cs="Times New Roman"/>
          <w:color w:val="000000"/>
          <w:sz w:val="20"/>
          <w:szCs w:val="20"/>
        </w:rPr>
        <w:t xml:space="preserve">%) y </w:t>
      </w:r>
      <w:r w:rsidR="007036CC">
        <w:rPr>
          <w:rFonts w:ascii="Calibri" w:eastAsia="Calibri" w:hAnsi="Calibri" w:cs="Times New Roman"/>
          <w:color w:val="000000"/>
          <w:sz w:val="20"/>
          <w:szCs w:val="20"/>
        </w:rPr>
        <w:t>de la mayoría</w:t>
      </w:r>
      <w:r w:rsidRPr="00702A01">
        <w:rPr>
          <w:rFonts w:ascii="Calibri" w:eastAsia="Calibri" w:hAnsi="Calibri" w:cs="Times New Roman"/>
          <w:color w:val="000000"/>
          <w:sz w:val="20"/>
          <w:szCs w:val="20"/>
        </w:rPr>
        <w:t xml:space="preserve"> de Comunidades Autónomas del país. </w:t>
      </w:r>
    </w:p>
    <w:p w14:paraId="2B59061B" w14:textId="243F51B4" w:rsidR="00702A01" w:rsidRPr="00702A01" w:rsidRDefault="00A46E29" w:rsidP="00702A01">
      <w:pPr>
        <w:spacing w:line="256" w:lineRule="auto"/>
        <w:ind w:left="708"/>
        <w:jc w:val="both"/>
        <w:rPr>
          <w:rFonts w:ascii="Calibri" w:eastAsia="Calibri" w:hAnsi="Calibri" w:cs="Times New Roman"/>
          <w:color w:val="000000"/>
          <w:sz w:val="20"/>
          <w:szCs w:val="20"/>
        </w:rPr>
      </w:pPr>
      <w:r>
        <w:rPr>
          <w:rFonts w:ascii="Calibri" w:eastAsia="Calibri" w:hAnsi="Calibri" w:cs="Times New Roman"/>
          <w:color w:val="000000"/>
          <w:sz w:val="20"/>
          <w:szCs w:val="20"/>
        </w:rPr>
        <w:t>Ocho</w:t>
      </w:r>
      <w:r w:rsidR="00702A01" w:rsidRPr="00702A01">
        <w:rPr>
          <w:rFonts w:ascii="Calibri" w:eastAsia="Calibri" w:hAnsi="Calibri" w:cs="Times New Roman"/>
          <w:color w:val="000000"/>
          <w:sz w:val="20"/>
          <w:szCs w:val="20"/>
        </w:rPr>
        <w:t xml:space="preserve"> Comunidades</w:t>
      </w:r>
      <w:r>
        <w:rPr>
          <w:rFonts w:ascii="Calibri" w:eastAsia="Calibri" w:hAnsi="Calibri" w:cs="Times New Roman"/>
          <w:color w:val="000000"/>
          <w:sz w:val="20"/>
          <w:szCs w:val="20"/>
        </w:rPr>
        <w:t xml:space="preserve"> Autónomas</w:t>
      </w:r>
      <w:r w:rsidR="00702A01" w:rsidRPr="00702A01">
        <w:rPr>
          <w:rFonts w:ascii="Calibri" w:eastAsia="Calibri" w:hAnsi="Calibri" w:cs="Times New Roman"/>
          <w:color w:val="000000"/>
          <w:sz w:val="20"/>
          <w:szCs w:val="20"/>
        </w:rPr>
        <w:t xml:space="preserve"> presentan descensos interanuales, </w:t>
      </w:r>
      <w:r>
        <w:rPr>
          <w:rFonts w:ascii="Calibri" w:eastAsia="Calibri" w:hAnsi="Calibri" w:cs="Times New Roman"/>
          <w:color w:val="000000"/>
          <w:sz w:val="20"/>
          <w:szCs w:val="20"/>
        </w:rPr>
        <w:t xml:space="preserve">Asturias, Canarias, Extremadura, Galicia, Murcia, Navarra, País Vasco y La Rioja. </w:t>
      </w:r>
    </w:p>
    <w:p w14:paraId="10F5F0A1" w14:textId="53FDEC9E" w:rsidR="00527173" w:rsidRPr="00F83753" w:rsidRDefault="00702A01" w:rsidP="00F83753">
      <w:pPr>
        <w:spacing w:line="256" w:lineRule="auto"/>
        <w:ind w:left="708"/>
        <w:jc w:val="both"/>
        <w:rPr>
          <w:rFonts w:ascii="Calibri" w:eastAsia="Calibri" w:hAnsi="Calibri" w:cs="Times New Roman"/>
          <w:sz w:val="20"/>
          <w:szCs w:val="20"/>
        </w:rPr>
      </w:pPr>
      <w:r w:rsidRPr="00702A01">
        <w:rPr>
          <w:rFonts w:ascii="Calibri" w:eastAsia="Calibri" w:hAnsi="Calibri" w:cs="Times New Roman"/>
          <w:sz w:val="20"/>
          <w:szCs w:val="20"/>
        </w:rPr>
        <w:t>Este fuerte aumento en Andalucía se produce, principalmente, por el incremento en la producción de Energía (+</w:t>
      </w:r>
      <w:r w:rsidR="00F237BA">
        <w:rPr>
          <w:rFonts w:ascii="Calibri" w:eastAsia="Calibri" w:hAnsi="Calibri" w:cs="Times New Roman"/>
          <w:sz w:val="20"/>
          <w:szCs w:val="20"/>
        </w:rPr>
        <w:t>2</w:t>
      </w:r>
      <w:r w:rsidR="00A46E29">
        <w:rPr>
          <w:rFonts w:ascii="Calibri" w:eastAsia="Calibri" w:hAnsi="Calibri" w:cs="Times New Roman"/>
          <w:sz w:val="20"/>
          <w:szCs w:val="20"/>
        </w:rPr>
        <w:t>9,2</w:t>
      </w:r>
      <w:r w:rsidRPr="00702A01">
        <w:rPr>
          <w:rFonts w:ascii="Calibri" w:eastAsia="Calibri" w:hAnsi="Calibri" w:cs="Times New Roman"/>
          <w:sz w:val="20"/>
          <w:szCs w:val="20"/>
        </w:rPr>
        <w:t xml:space="preserve">%) </w:t>
      </w:r>
      <w:r w:rsidR="00A46E29">
        <w:rPr>
          <w:rFonts w:ascii="Calibri" w:eastAsia="Calibri" w:hAnsi="Calibri" w:cs="Times New Roman"/>
          <w:sz w:val="20"/>
          <w:szCs w:val="20"/>
        </w:rPr>
        <w:t>y de Bienes Intermedios (+10,3%)</w:t>
      </w:r>
      <w:r w:rsidR="00F83753">
        <w:rPr>
          <w:rFonts w:ascii="Calibri" w:eastAsia="Calibri" w:hAnsi="Calibri" w:cs="Times New Roman"/>
          <w:sz w:val="20"/>
          <w:szCs w:val="20"/>
        </w:rPr>
        <w:t>.</w:t>
      </w:r>
    </w:p>
    <w:p w14:paraId="098FE98E" w14:textId="77777777" w:rsidR="00702A01" w:rsidRPr="00702A01" w:rsidRDefault="00702A01" w:rsidP="00702A01">
      <w:pPr>
        <w:numPr>
          <w:ilvl w:val="0"/>
          <w:numId w:val="11"/>
        </w:numPr>
        <w:spacing w:line="256" w:lineRule="auto"/>
        <w:contextualSpacing/>
        <w:jc w:val="both"/>
        <w:rPr>
          <w:rFonts w:ascii="Calibri" w:eastAsia="Calibri" w:hAnsi="Calibri" w:cs="Times New Roman"/>
          <w:b/>
          <w:bCs/>
          <w:color w:val="000000"/>
          <w:sz w:val="20"/>
          <w:szCs w:val="20"/>
        </w:rPr>
      </w:pPr>
      <w:r w:rsidRPr="00702A01">
        <w:rPr>
          <w:rFonts w:ascii="Calibri" w:eastAsia="Calibri" w:hAnsi="Calibri" w:cs="Times New Roman"/>
          <w:b/>
          <w:bCs/>
          <w:color w:val="000000"/>
          <w:sz w:val="20"/>
          <w:szCs w:val="20"/>
        </w:rPr>
        <w:lastRenderedPageBreak/>
        <w:t>VARIACIÓN MEDIA EN LO QUE VA DE AÑO</w:t>
      </w:r>
    </w:p>
    <w:p w14:paraId="70FF99B1" w14:textId="77777777" w:rsidR="00702A01" w:rsidRPr="00702A01" w:rsidRDefault="00702A01" w:rsidP="00702A01">
      <w:pPr>
        <w:spacing w:line="256" w:lineRule="auto"/>
        <w:ind w:left="1428"/>
        <w:contextualSpacing/>
        <w:jc w:val="both"/>
        <w:rPr>
          <w:rFonts w:ascii="Calibri" w:eastAsia="Calibri" w:hAnsi="Calibri" w:cs="Times New Roman"/>
          <w:b/>
          <w:bCs/>
          <w:color w:val="000000"/>
          <w:sz w:val="20"/>
          <w:szCs w:val="20"/>
        </w:rPr>
      </w:pPr>
    </w:p>
    <w:p w14:paraId="18B8027B" w14:textId="20D2E16D" w:rsidR="00702A01" w:rsidRPr="00702A01" w:rsidRDefault="00702A01" w:rsidP="00702A01">
      <w:pPr>
        <w:spacing w:line="256" w:lineRule="auto"/>
        <w:ind w:left="708"/>
        <w:jc w:val="both"/>
        <w:rPr>
          <w:rFonts w:ascii="Calibri" w:eastAsia="Calibri" w:hAnsi="Calibri" w:cs="Times New Roman"/>
          <w:color w:val="000000"/>
          <w:sz w:val="20"/>
          <w:szCs w:val="20"/>
        </w:rPr>
      </w:pPr>
      <w:r w:rsidRPr="00702A01">
        <w:rPr>
          <w:rFonts w:ascii="Calibri" w:eastAsia="Calibri" w:hAnsi="Calibri" w:cs="Times New Roman"/>
          <w:color w:val="000000"/>
          <w:sz w:val="20"/>
          <w:szCs w:val="20"/>
        </w:rPr>
        <w:t xml:space="preserve">Incluidos los datos de este mes, la variación media de la producción industrial andaluza con respecto al mismo periodo de 2024, aumenta un </w:t>
      </w:r>
      <w:r w:rsidR="00486172">
        <w:rPr>
          <w:rFonts w:ascii="Calibri" w:eastAsia="Calibri" w:hAnsi="Calibri" w:cs="Times New Roman"/>
          <w:color w:val="000000"/>
          <w:sz w:val="20"/>
          <w:szCs w:val="20"/>
        </w:rPr>
        <w:t>9,1</w:t>
      </w:r>
      <w:r w:rsidRPr="00702A01">
        <w:rPr>
          <w:rFonts w:ascii="Calibri" w:eastAsia="Calibri" w:hAnsi="Calibri" w:cs="Times New Roman"/>
          <w:color w:val="000000"/>
          <w:sz w:val="20"/>
          <w:szCs w:val="20"/>
        </w:rPr>
        <w:t xml:space="preserve">%, siendo el mayor crecimiento de todas las Comunidades Autónomas del país, </w:t>
      </w:r>
      <w:r w:rsidR="00486172">
        <w:rPr>
          <w:rFonts w:ascii="Calibri" w:eastAsia="Calibri" w:hAnsi="Calibri" w:cs="Times New Roman"/>
          <w:color w:val="000000"/>
          <w:sz w:val="20"/>
          <w:szCs w:val="20"/>
        </w:rPr>
        <w:t>8</w:t>
      </w:r>
      <w:r w:rsidR="00CD4598">
        <w:rPr>
          <w:rFonts w:ascii="Calibri" w:eastAsia="Calibri" w:hAnsi="Calibri" w:cs="Times New Roman"/>
          <w:color w:val="000000"/>
          <w:sz w:val="20"/>
          <w:szCs w:val="20"/>
        </w:rPr>
        <w:t xml:space="preserve"> puntos</w:t>
      </w:r>
      <w:r w:rsidRPr="00702A01">
        <w:rPr>
          <w:rFonts w:ascii="Calibri" w:eastAsia="Calibri" w:hAnsi="Calibri" w:cs="Times New Roman"/>
          <w:color w:val="000000"/>
          <w:sz w:val="20"/>
          <w:szCs w:val="20"/>
        </w:rPr>
        <w:t xml:space="preserve"> por encima de la media nacional.</w:t>
      </w:r>
    </w:p>
    <w:p w14:paraId="6643E0CE" w14:textId="3332B8B0" w:rsidR="00702A01" w:rsidRPr="00702A01" w:rsidRDefault="00486172" w:rsidP="00702A01">
      <w:pPr>
        <w:spacing w:line="256" w:lineRule="auto"/>
        <w:ind w:left="708"/>
        <w:jc w:val="both"/>
        <w:rPr>
          <w:rFonts w:ascii="Calibri" w:eastAsia="Calibri" w:hAnsi="Calibri" w:cs="Times New Roman"/>
          <w:color w:val="000000"/>
          <w:sz w:val="20"/>
          <w:szCs w:val="20"/>
        </w:rPr>
      </w:pPr>
      <w:r>
        <w:rPr>
          <w:rFonts w:ascii="Calibri" w:eastAsia="Calibri" w:hAnsi="Calibri" w:cs="Times New Roman"/>
          <w:color w:val="000000"/>
          <w:sz w:val="20"/>
          <w:szCs w:val="20"/>
        </w:rPr>
        <w:t>Seis</w:t>
      </w:r>
      <w:r w:rsidR="00702A01" w:rsidRPr="00702A01">
        <w:rPr>
          <w:rFonts w:ascii="Calibri" w:eastAsia="Calibri" w:hAnsi="Calibri" w:cs="Times New Roman"/>
          <w:color w:val="000000"/>
          <w:sz w:val="20"/>
          <w:szCs w:val="20"/>
        </w:rPr>
        <w:t xml:space="preserve"> Comunidades Autónomas presentan datos negativos, siendo el peor dato el del País Vasco (-2,</w:t>
      </w:r>
      <w:r>
        <w:rPr>
          <w:rFonts w:ascii="Calibri" w:eastAsia="Calibri" w:hAnsi="Calibri" w:cs="Times New Roman"/>
          <w:color w:val="000000"/>
          <w:sz w:val="20"/>
          <w:szCs w:val="20"/>
        </w:rPr>
        <w:t>8</w:t>
      </w:r>
      <w:r w:rsidR="00702A01" w:rsidRPr="00702A01">
        <w:rPr>
          <w:rFonts w:ascii="Calibri" w:eastAsia="Calibri" w:hAnsi="Calibri" w:cs="Times New Roman"/>
          <w:color w:val="000000"/>
          <w:sz w:val="20"/>
          <w:szCs w:val="20"/>
        </w:rPr>
        <w:t>%).</w:t>
      </w:r>
    </w:p>
    <w:p w14:paraId="55141A8C" w14:textId="1C3581F0" w:rsidR="00702A01" w:rsidRPr="00702A01" w:rsidRDefault="00702A01" w:rsidP="00702A01">
      <w:pPr>
        <w:spacing w:line="256" w:lineRule="auto"/>
        <w:ind w:left="708"/>
        <w:jc w:val="both"/>
        <w:rPr>
          <w:rFonts w:ascii="Calibri" w:eastAsia="Calibri" w:hAnsi="Calibri" w:cs="Times New Roman"/>
          <w:color w:val="000000"/>
          <w:sz w:val="20"/>
          <w:szCs w:val="20"/>
        </w:rPr>
      </w:pPr>
      <w:r w:rsidRPr="00702A01">
        <w:rPr>
          <w:rFonts w:ascii="Calibri" w:eastAsia="Calibri" w:hAnsi="Calibri" w:cs="Times New Roman"/>
          <w:color w:val="000000"/>
          <w:sz w:val="20"/>
          <w:szCs w:val="20"/>
        </w:rPr>
        <w:t xml:space="preserve">Además del dato andaluz destacar a la Comunidad Autónoma de </w:t>
      </w:r>
      <w:r w:rsidR="00486172">
        <w:rPr>
          <w:rFonts w:ascii="Calibri" w:eastAsia="Calibri" w:hAnsi="Calibri" w:cs="Times New Roman"/>
          <w:color w:val="000000"/>
          <w:sz w:val="20"/>
          <w:szCs w:val="20"/>
        </w:rPr>
        <w:t>Castilla y León</w:t>
      </w:r>
      <w:r w:rsidRPr="00702A01">
        <w:rPr>
          <w:rFonts w:ascii="Calibri" w:eastAsia="Calibri" w:hAnsi="Calibri" w:cs="Times New Roman"/>
          <w:color w:val="000000"/>
          <w:sz w:val="20"/>
          <w:szCs w:val="20"/>
        </w:rPr>
        <w:t xml:space="preserve"> con un incremento del </w:t>
      </w:r>
      <w:r w:rsidR="00486172">
        <w:rPr>
          <w:rFonts w:ascii="Calibri" w:eastAsia="Calibri" w:hAnsi="Calibri" w:cs="Times New Roman"/>
          <w:color w:val="000000"/>
          <w:sz w:val="20"/>
          <w:szCs w:val="20"/>
        </w:rPr>
        <w:t>4</w:t>
      </w:r>
      <w:r w:rsidR="001F61E9">
        <w:rPr>
          <w:rFonts w:ascii="Calibri" w:eastAsia="Calibri" w:hAnsi="Calibri" w:cs="Times New Roman"/>
          <w:color w:val="000000"/>
          <w:sz w:val="20"/>
          <w:szCs w:val="20"/>
        </w:rPr>
        <w:t>,7</w:t>
      </w:r>
      <w:r w:rsidRPr="00702A01">
        <w:rPr>
          <w:rFonts w:ascii="Calibri" w:eastAsia="Calibri" w:hAnsi="Calibri" w:cs="Times New Roman"/>
          <w:color w:val="000000"/>
          <w:sz w:val="20"/>
          <w:szCs w:val="20"/>
        </w:rPr>
        <w:t>%.</w:t>
      </w:r>
    </w:p>
    <w:p w14:paraId="7F4B5348" w14:textId="77777777" w:rsidR="00702A01" w:rsidRPr="00702A01" w:rsidRDefault="00702A01" w:rsidP="00702A01">
      <w:pPr>
        <w:spacing w:line="256" w:lineRule="auto"/>
        <w:ind w:left="708"/>
        <w:jc w:val="both"/>
        <w:rPr>
          <w:rFonts w:ascii="Calibri" w:eastAsia="Calibri" w:hAnsi="Calibri" w:cs="Times New Roman"/>
          <w:color w:val="000000"/>
          <w:sz w:val="20"/>
          <w:szCs w:val="20"/>
        </w:rPr>
      </w:pPr>
    </w:p>
    <w:p w14:paraId="07C6FCFA" w14:textId="153592D8" w:rsidR="00702A01" w:rsidRPr="00702A01" w:rsidRDefault="00DF7EA5" w:rsidP="00702A01">
      <w:pPr>
        <w:spacing w:line="256" w:lineRule="auto"/>
        <w:ind w:left="708"/>
        <w:jc w:val="both"/>
        <w:rPr>
          <w:rFonts w:ascii="Calibri" w:eastAsia="Calibri" w:hAnsi="Calibri" w:cs="Times New Roman"/>
          <w:b/>
          <w:bCs/>
          <w:color w:val="000000"/>
          <w:sz w:val="24"/>
          <w:szCs w:val="24"/>
        </w:rPr>
      </w:pPr>
      <w:r>
        <w:rPr>
          <w:rFonts w:ascii="Calibri" w:eastAsia="Calibri" w:hAnsi="Calibri" w:cs="Times New Roman"/>
          <w:b/>
          <w:bCs/>
          <w:noProof/>
          <w:color w:val="000000"/>
          <w:sz w:val="24"/>
          <w:szCs w:val="24"/>
        </w:rPr>
        <w:drawing>
          <wp:inline distT="0" distB="0" distL="0" distR="0" wp14:anchorId="786A43F3" wp14:editId="1D328F43">
            <wp:extent cx="5940660" cy="3897193"/>
            <wp:effectExtent l="0" t="0" r="3175" b="8255"/>
            <wp:docPr id="48487977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52422" cy="3904909"/>
                    </a:xfrm>
                    <a:prstGeom prst="rect">
                      <a:avLst/>
                    </a:prstGeom>
                    <a:noFill/>
                  </pic:spPr>
                </pic:pic>
              </a:graphicData>
            </a:graphic>
          </wp:inline>
        </w:drawing>
      </w:r>
    </w:p>
    <w:p w14:paraId="77E3B432" w14:textId="77777777" w:rsidR="00702A01" w:rsidRPr="00702A01" w:rsidRDefault="00702A01" w:rsidP="00702A01">
      <w:pPr>
        <w:spacing w:line="256" w:lineRule="auto"/>
        <w:ind w:left="708"/>
        <w:jc w:val="both"/>
        <w:rPr>
          <w:rFonts w:ascii="Calibri" w:eastAsia="Calibri" w:hAnsi="Calibri" w:cs="Times New Roman"/>
          <w:i/>
          <w:iCs/>
          <w:color w:val="000000"/>
          <w:sz w:val="16"/>
          <w:szCs w:val="16"/>
        </w:rPr>
      </w:pPr>
      <w:r w:rsidRPr="00702A01">
        <w:rPr>
          <w:rFonts w:ascii="Calibri" w:eastAsia="Calibri" w:hAnsi="Calibri" w:cs="Times New Roman"/>
          <w:i/>
          <w:iCs/>
          <w:color w:val="000000"/>
          <w:sz w:val="16"/>
          <w:szCs w:val="16"/>
        </w:rPr>
        <w:t>Gráfica 3. Tasa de Variación en lo que va de año IPI por CCAA. Fuente: INE</w:t>
      </w:r>
    </w:p>
    <w:p w14:paraId="7584D6E6" w14:textId="77777777" w:rsidR="00702A01" w:rsidRPr="00702A01" w:rsidRDefault="00702A01" w:rsidP="00702A01">
      <w:pPr>
        <w:spacing w:line="256" w:lineRule="auto"/>
        <w:jc w:val="both"/>
        <w:rPr>
          <w:rFonts w:ascii="Calibri" w:eastAsia="Calibri" w:hAnsi="Calibri" w:cs="Times New Roman"/>
          <w:color w:val="000000"/>
          <w:sz w:val="18"/>
          <w:szCs w:val="18"/>
        </w:rPr>
      </w:pPr>
      <w:r w:rsidRPr="00702A01">
        <w:rPr>
          <w:rFonts w:ascii="Calibri" w:eastAsia="Calibri" w:hAnsi="Calibri" w:cs="Times New Roman"/>
          <w:color w:val="000000"/>
          <w:sz w:val="18"/>
          <w:szCs w:val="18"/>
        </w:rPr>
        <w:tab/>
      </w:r>
    </w:p>
    <w:p w14:paraId="043535C3" w14:textId="4F7B9CF3" w:rsidR="00702A01" w:rsidRPr="00702A01" w:rsidRDefault="00702A01" w:rsidP="00702A01">
      <w:pPr>
        <w:spacing w:line="256" w:lineRule="auto"/>
        <w:ind w:left="708"/>
        <w:jc w:val="both"/>
        <w:rPr>
          <w:rFonts w:ascii="Calibri" w:eastAsia="Calibri" w:hAnsi="Calibri" w:cs="Times New Roman"/>
          <w:color w:val="000000"/>
          <w:sz w:val="20"/>
          <w:szCs w:val="20"/>
        </w:rPr>
      </w:pPr>
      <w:r w:rsidRPr="00702A01">
        <w:rPr>
          <w:rFonts w:ascii="Calibri" w:eastAsia="Calibri" w:hAnsi="Calibri" w:cs="Times New Roman"/>
          <w:color w:val="000000"/>
          <w:sz w:val="20"/>
          <w:szCs w:val="20"/>
        </w:rPr>
        <w:t xml:space="preserve">Comparando las tasas de variación mensual en los meses de </w:t>
      </w:r>
      <w:r w:rsidR="00A91399">
        <w:rPr>
          <w:rFonts w:ascii="Calibri" w:eastAsia="Calibri" w:hAnsi="Calibri" w:cs="Times New Roman"/>
          <w:color w:val="000000"/>
          <w:sz w:val="20"/>
          <w:szCs w:val="20"/>
        </w:rPr>
        <w:t>noviembre</w:t>
      </w:r>
      <w:r w:rsidRPr="00702A01">
        <w:rPr>
          <w:rFonts w:ascii="Calibri" w:eastAsia="Calibri" w:hAnsi="Calibri" w:cs="Times New Roman"/>
          <w:color w:val="000000"/>
          <w:sz w:val="20"/>
          <w:szCs w:val="20"/>
        </w:rPr>
        <w:t xml:space="preserve"> en años anteriores, podemos ver que, el mes de </w:t>
      </w:r>
      <w:r w:rsidR="00A91399">
        <w:rPr>
          <w:rFonts w:ascii="Calibri" w:eastAsia="Calibri" w:hAnsi="Calibri" w:cs="Times New Roman"/>
          <w:color w:val="000000"/>
          <w:sz w:val="20"/>
          <w:szCs w:val="20"/>
        </w:rPr>
        <w:t>noviembre</w:t>
      </w:r>
      <w:r w:rsidRPr="00702A01">
        <w:rPr>
          <w:rFonts w:ascii="Calibri" w:eastAsia="Calibri" w:hAnsi="Calibri" w:cs="Times New Roman"/>
          <w:color w:val="000000"/>
          <w:sz w:val="20"/>
          <w:szCs w:val="20"/>
        </w:rPr>
        <w:t xml:space="preserve"> suele ser un mes de </w:t>
      </w:r>
      <w:r w:rsidR="00A91399">
        <w:rPr>
          <w:rFonts w:ascii="Calibri" w:eastAsia="Calibri" w:hAnsi="Calibri" w:cs="Times New Roman"/>
          <w:color w:val="000000"/>
          <w:sz w:val="20"/>
          <w:szCs w:val="20"/>
        </w:rPr>
        <w:t>decrecimiento</w:t>
      </w:r>
      <w:r w:rsidRPr="00702A01">
        <w:rPr>
          <w:rFonts w:ascii="Calibri" w:eastAsia="Calibri" w:hAnsi="Calibri" w:cs="Times New Roman"/>
          <w:color w:val="000000"/>
          <w:sz w:val="20"/>
          <w:szCs w:val="20"/>
        </w:rPr>
        <w:t xml:space="preserve"> en la producción industrial, </w:t>
      </w:r>
      <w:r w:rsidR="00FA00E9">
        <w:rPr>
          <w:rFonts w:ascii="Calibri" w:eastAsia="Calibri" w:hAnsi="Calibri" w:cs="Times New Roman"/>
          <w:color w:val="000000"/>
          <w:sz w:val="20"/>
          <w:szCs w:val="20"/>
        </w:rPr>
        <w:t>con la excepción de</w:t>
      </w:r>
      <w:r w:rsidR="00A91399">
        <w:rPr>
          <w:rFonts w:ascii="Calibri" w:eastAsia="Calibri" w:hAnsi="Calibri" w:cs="Times New Roman"/>
          <w:color w:val="000000"/>
          <w:sz w:val="20"/>
          <w:szCs w:val="20"/>
        </w:rPr>
        <w:t xml:space="preserve"> los años 2016, 2017 y 2021.</w:t>
      </w:r>
    </w:p>
    <w:p w14:paraId="085C253A" w14:textId="77777777" w:rsidR="00702A01" w:rsidRPr="00702A01" w:rsidRDefault="00702A01" w:rsidP="00702A01">
      <w:pPr>
        <w:spacing w:line="256" w:lineRule="auto"/>
        <w:ind w:left="708"/>
        <w:jc w:val="both"/>
        <w:rPr>
          <w:rFonts w:ascii="Calibri" w:eastAsia="Calibri" w:hAnsi="Calibri" w:cs="Times New Roman"/>
          <w:color w:val="000000"/>
          <w:sz w:val="20"/>
          <w:szCs w:val="20"/>
        </w:rPr>
      </w:pPr>
    </w:p>
    <w:p w14:paraId="520CDC10" w14:textId="2FFA01B2" w:rsidR="00702A01" w:rsidRPr="00702A01" w:rsidRDefault="00DF7EA5" w:rsidP="00702A01">
      <w:pPr>
        <w:spacing w:line="256" w:lineRule="auto"/>
        <w:ind w:left="708"/>
        <w:jc w:val="both"/>
        <w:rPr>
          <w:rFonts w:ascii="Calibri" w:eastAsia="Calibri" w:hAnsi="Calibri" w:cs="Times New Roman"/>
          <w:color w:val="000000"/>
          <w:sz w:val="18"/>
          <w:szCs w:val="18"/>
        </w:rPr>
      </w:pPr>
      <w:r w:rsidRPr="00DF7EA5">
        <w:rPr>
          <w:noProof/>
        </w:rPr>
        <w:drawing>
          <wp:inline distT="0" distB="0" distL="0" distR="0" wp14:anchorId="01F62C53" wp14:editId="05A6427D">
            <wp:extent cx="6104861" cy="256039"/>
            <wp:effectExtent l="0" t="0" r="0" b="0"/>
            <wp:docPr id="124854747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77813" cy="259099"/>
                    </a:xfrm>
                    <a:prstGeom prst="rect">
                      <a:avLst/>
                    </a:prstGeom>
                    <a:noFill/>
                    <a:ln>
                      <a:noFill/>
                    </a:ln>
                  </pic:spPr>
                </pic:pic>
              </a:graphicData>
            </a:graphic>
          </wp:inline>
        </w:drawing>
      </w:r>
    </w:p>
    <w:p w14:paraId="52634247" w14:textId="77777777" w:rsidR="00702A01" w:rsidRPr="00702A01" w:rsidRDefault="00702A01" w:rsidP="00702A01">
      <w:pPr>
        <w:spacing w:line="256" w:lineRule="auto"/>
        <w:ind w:left="708"/>
        <w:jc w:val="both"/>
        <w:rPr>
          <w:rFonts w:ascii="Calibri" w:eastAsia="Calibri" w:hAnsi="Calibri" w:cs="Times New Roman"/>
          <w:color w:val="000000"/>
          <w:sz w:val="18"/>
          <w:szCs w:val="18"/>
        </w:rPr>
      </w:pPr>
      <w:r w:rsidRPr="00702A01">
        <w:rPr>
          <w:rFonts w:ascii="Calibri" w:eastAsia="Calibri" w:hAnsi="Calibri" w:cs="Times New Roman"/>
          <w:i/>
          <w:iCs/>
          <w:color w:val="000000"/>
          <w:sz w:val="16"/>
          <w:szCs w:val="16"/>
        </w:rPr>
        <w:t>Tabla 1. Tasas de Variación Mensual en los meses de noviembre por años. Fuente: INE</w:t>
      </w:r>
    </w:p>
    <w:p w14:paraId="44F29049" w14:textId="77777777" w:rsidR="00702A01" w:rsidRPr="00702A01" w:rsidRDefault="00702A01" w:rsidP="00702A01">
      <w:pPr>
        <w:spacing w:line="256" w:lineRule="auto"/>
        <w:jc w:val="both"/>
        <w:rPr>
          <w:rFonts w:ascii="Calibri" w:eastAsia="Calibri" w:hAnsi="Calibri" w:cs="Times New Roman"/>
          <w:b/>
          <w:bCs/>
          <w:color w:val="000000"/>
          <w:sz w:val="16"/>
          <w:szCs w:val="16"/>
        </w:rPr>
      </w:pPr>
      <w:r w:rsidRPr="00702A01">
        <w:rPr>
          <w:rFonts w:ascii="Calibri" w:eastAsia="Calibri" w:hAnsi="Calibri" w:cs="Times New Roman"/>
          <w:i/>
          <w:iCs/>
          <w:color w:val="000000"/>
          <w:sz w:val="16"/>
          <w:szCs w:val="16"/>
        </w:rPr>
        <w:tab/>
      </w:r>
    </w:p>
    <w:p w14:paraId="0BF9347A" w14:textId="77777777" w:rsidR="00702A01" w:rsidRDefault="00702A01" w:rsidP="00702A01">
      <w:pPr>
        <w:spacing w:line="256" w:lineRule="auto"/>
        <w:jc w:val="both"/>
        <w:rPr>
          <w:rFonts w:ascii="Calibri" w:eastAsia="Calibri" w:hAnsi="Calibri" w:cs="Times New Roman"/>
          <w:i/>
          <w:iCs/>
          <w:color w:val="000000"/>
          <w:sz w:val="16"/>
          <w:szCs w:val="16"/>
        </w:rPr>
      </w:pPr>
    </w:p>
    <w:p w14:paraId="0333199C" w14:textId="77777777" w:rsidR="00702A01" w:rsidRPr="00702A01" w:rsidRDefault="00702A01" w:rsidP="00702A01">
      <w:pPr>
        <w:spacing w:line="256" w:lineRule="auto"/>
        <w:jc w:val="both"/>
        <w:rPr>
          <w:rFonts w:ascii="Calibri" w:eastAsia="Calibri" w:hAnsi="Calibri" w:cs="Times New Roman"/>
          <w:i/>
          <w:iCs/>
          <w:color w:val="000000"/>
          <w:sz w:val="16"/>
          <w:szCs w:val="16"/>
        </w:rPr>
      </w:pPr>
    </w:p>
    <w:p w14:paraId="725EF05A" w14:textId="77777777" w:rsidR="00702A01" w:rsidRPr="00702A01" w:rsidRDefault="00702A01" w:rsidP="00702A01">
      <w:pPr>
        <w:spacing w:line="256" w:lineRule="auto"/>
        <w:ind w:left="708"/>
        <w:jc w:val="both"/>
        <w:rPr>
          <w:rFonts w:ascii="Calibri" w:eastAsia="Calibri" w:hAnsi="Calibri" w:cs="Times New Roman"/>
          <w:b/>
          <w:bCs/>
          <w:color w:val="000000"/>
        </w:rPr>
      </w:pPr>
      <w:r w:rsidRPr="00702A01">
        <w:rPr>
          <w:rFonts w:ascii="Calibri" w:eastAsia="Calibri" w:hAnsi="Calibri" w:cs="Times New Roman"/>
          <w:b/>
          <w:bCs/>
          <w:color w:val="000000"/>
        </w:rPr>
        <w:lastRenderedPageBreak/>
        <w:t>CONCLUSIONES</w:t>
      </w:r>
    </w:p>
    <w:p w14:paraId="3F37AA33" w14:textId="410E1893" w:rsidR="00702A01" w:rsidRDefault="00404191" w:rsidP="00702A01">
      <w:pPr>
        <w:spacing w:line="254" w:lineRule="auto"/>
        <w:ind w:left="709"/>
        <w:jc w:val="both"/>
        <w:rPr>
          <w:rFonts w:ascii="Calibri" w:eastAsia="Calibri" w:hAnsi="Calibri" w:cs="Times New Roman"/>
          <w:sz w:val="20"/>
          <w:szCs w:val="20"/>
        </w:rPr>
      </w:pPr>
      <w:r>
        <w:rPr>
          <w:rFonts w:ascii="Calibri" w:eastAsia="Calibri" w:hAnsi="Calibri" w:cs="Times New Roman"/>
          <w:sz w:val="20"/>
          <w:szCs w:val="20"/>
        </w:rPr>
        <w:t>Pese al descenso en este mes de noviembre, d</w:t>
      </w:r>
      <w:r w:rsidR="00702A01" w:rsidRPr="00702A01">
        <w:rPr>
          <w:rFonts w:ascii="Calibri" w:eastAsia="Calibri" w:hAnsi="Calibri" w:cs="Times New Roman"/>
          <w:sz w:val="20"/>
          <w:szCs w:val="20"/>
        </w:rPr>
        <w:t xml:space="preserve">esde UGT Andalucía </w:t>
      </w:r>
      <w:r w:rsidR="00702A01" w:rsidRPr="00702A01">
        <w:rPr>
          <w:rFonts w:ascii="Calibri" w:eastAsia="Calibri" w:hAnsi="Calibri" w:cs="Times New Roman"/>
          <w:b/>
          <w:bCs/>
          <w:sz w:val="20"/>
          <w:szCs w:val="20"/>
        </w:rPr>
        <w:t>valoramos positivamente</w:t>
      </w:r>
      <w:r w:rsidR="00702A01" w:rsidRPr="00702A01">
        <w:rPr>
          <w:rFonts w:ascii="Calibri" w:eastAsia="Calibri" w:hAnsi="Calibri" w:cs="Times New Roman"/>
          <w:sz w:val="20"/>
          <w:szCs w:val="20"/>
        </w:rPr>
        <w:t xml:space="preserve"> </w:t>
      </w:r>
      <w:r>
        <w:rPr>
          <w:rFonts w:ascii="Calibri" w:eastAsia="Calibri" w:hAnsi="Calibri" w:cs="Times New Roman"/>
          <w:sz w:val="20"/>
          <w:szCs w:val="20"/>
        </w:rPr>
        <w:t>la tendencia positiva de</w:t>
      </w:r>
      <w:r w:rsidR="00702A01" w:rsidRPr="00702A01">
        <w:rPr>
          <w:rFonts w:ascii="Calibri" w:eastAsia="Calibri" w:hAnsi="Calibri" w:cs="Times New Roman"/>
          <w:sz w:val="20"/>
          <w:szCs w:val="20"/>
        </w:rPr>
        <w:t xml:space="preserve"> producción industrial en nuestra región, </w:t>
      </w:r>
      <w:r w:rsidR="00AC41BA">
        <w:rPr>
          <w:rFonts w:ascii="Calibri" w:eastAsia="Calibri" w:hAnsi="Calibri" w:cs="Times New Roman"/>
          <w:sz w:val="20"/>
          <w:szCs w:val="20"/>
        </w:rPr>
        <w:t>mostrando un comportamiento muy positivo en los últimos meses</w:t>
      </w:r>
      <w:r w:rsidR="00702A01" w:rsidRPr="00702A01">
        <w:rPr>
          <w:rFonts w:ascii="Calibri" w:eastAsia="Calibri" w:hAnsi="Calibri" w:cs="Times New Roman"/>
          <w:sz w:val="20"/>
          <w:szCs w:val="20"/>
        </w:rPr>
        <w:t xml:space="preserve">. </w:t>
      </w:r>
      <w:r>
        <w:rPr>
          <w:rFonts w:ascii="Calibri" w:eastAsia="Calibri" w:hAnsi="Calibri" w:cs="Times New Roman"/>
          <w:sz w:val="20"/>
          <w:szCs w:val="20"/>
        </w:rPr>
        <w:t>También se ve acompañado por el incremento en las</w:t>
      </w:r>
      <w:r w:rsidR="00702A01" w:rsidRPr="00702A01">
        <w:rPr>
          <w:rFonts w:ascii="Calibri" w:eastAsia="Calibri" w:hAnsi="Calibri" w:cs="Times New Roman"/>
          <w:sz w:val="20"/>
          <w:szCs w:val="20"/>
        </w:rPr>
        <w:t xml:space="preserve"> Cifras de Negocio en la Industria</w:t>
      </w:r>
      <w:r>
        <w:rPr>
          <w:rFonts w:ascii="Calibri" w:eastAsia="Calibri" w:hAnsi="Calibri" w:cs="Times New Roman"/>
          <w:sz w:val="20"/>
          <w:szCs w:val="20"/>
        </w:rPr>
        <w:t xml:space="preserve"> en el pasado mes de octubre, marcando un incremento del 5,5%.</w:t>
      </w:r>
    </w:p>
    <w:p w14:paraId="463B3D8A" w14:textId="77E0D052" w:rsidR="000A482C" w:rsidRDefault="000A482C" w:rsidP="00702A01">
      <w:pPr>
        <w:spacing w:line="254" w:lineRule="auto"/>
        <w:ind w:left="709"/>
        <w:jc w:val="both"/>
        <w:rPr>
          <w:rFonts w:ascii="Calibri" w:eastAsia="Calibri" w:hAnsi="Calibri" w:cs="Times New Roman"/>
          <w:sz w:val="20"/>
          <w:szCs w:val="20"/>
        </w:rPr>
      </w:pPr>
      <w:r>
        <w:rPr>
          <w:rFonts w:ascii="Calibri" w:eastAsia="Calibri" w:hAnsi="Calibri" w:cs="Times New Roman"/>
          <w:sz w:val="20"/>
          <w:szCs w:val="20"/>
        </w:rPr>
        <w:t xml:space="preserve">El impacto positivo del incremento en la producción de bienes de inversión como la energía y bienes de equipo es la base para que la producción industrial continúe esta tendencia en el largo plazo, al mismo tiempo que contribuye, de manera significativa, al crecimiento del PIB andaluz. </w:t>
      </w:r>
    </w:p>
    <w:p w14:paraId="040A1EE7" w14:textId="50BEEAEF" w:rsidR="000A482C" w:rsidRDefault="000A482C" w:rsidP="00656747">
      <w:pPr>
        <w:spacing w:line="254" w:lineRule="auto"/>
        <w:ind w:left="709"/>
        <w:jc w:val="both"/>
        <w:rPr>
          <w:rFonts w:ascii="Calibri" w:eastAsia="Calibri" w:hAnsi="Calibri" w:cs="Times New Roman"/>
          <w:sz w:val="20"/>
          <w:szCs w:val="20"/>
        </w:rPr>
      </w:pPr>
      <w:r>
        <w:rPr>
          <w:rFonts w:ascii="Calibri" w:eastAsia="Calibri" w:hAnsi="Calibri" w:cs="Times New Roman"/>
          <w:sz w:val="20"/>
          <w:szCs w:val="20"/>
        </w:rPr>
        <w:t xml:space="preserve">Destacar el papel importante que ha jugado, en este incremento de la producción industrial, la recuperación de la demanda interna y el incremento de las exportaciones, al mismo tiempo reseñar la inversión en nuevas tecnologías y </w:t>
      </w:r>
      <w:r w:rsidR="00942D33">
        <w:rPr>
          <w:rFonts w:ascii="Calibri" w:eastAsia="Calibri" w:hAnsi="Calibri" w:cs="Times New Roman"/>
          <w:sz w:val="20"/>
          <w:szCs w:val="20"/>
        </w:rPr>
        <w:t xml:space="preserve">el avance de las energías renovables, siendo la gran baza que tiene nuestra región para lograr una economía más sostenible, más puntera y que beneficie a toda la ciudadanía. </w:t>
      </w:r>
    </w:p>
    <w:p w14:paraId="32FA1AD9" w14:textId="25AA5121" w:rsidR="00450450" w:rsidRDefault="00450450" w:rsidP="00656747">
      <w:pPr>
        <w:spacing w:line="254" w:lineRule="auto"/>
        <w:ind w:left="709"/>
        <w:jc w:val="both"/>
        <w:rPr>
          <w:rFonts w:ascii="Calibri" w:eastAsia="Calibri" w:hAnsi="Calibri" w:cs="Times New Roman"/>
          <w:sz w:val="20"/>
          <w:szCs w:val="20"/>
        </w:rPr>
      </w:pPr>
      <w:r w:rsidRPr="001000A1">
        <w:rPr>
          <w:rFonts w:ascii="Calibri" w:eastAsia="Calibri" w:hAnsi="Calibri" w:cs="Times New Roman"/>
          <w:sz w:val="20"/>
          <w:szCs w:val="20"/>
        </w:rPr>
        <w:t xml:space="preserve">Precisamente por el gran impacto que tiene en nuestra Comunidad Autónoma </w:t>
      </w:r>
      <w:r w:rsidRPr="002A76A1">
        <w:rPr>
          <w:rFonts w:ascii="Calibri" w:eastAsia="Calibri" w:hAnsi="Calibri" w:cs="Times New Roman"/>
          <w:b/>
          <w:bCs/>
          <w:sz w:val="20"/>
          <w:szCs w:val="20"/>
        </w:rPr>
        <w:t>las energías renovables</w:t>
      </w:r>
      <w:r w:rsidRPr="001000A1">
        <w:rPr>
          <w:rFonts w:ascii="Calibri" w:eastAsia="Calibri" w:hAnsi="Calibri" w:cs="Times New Roman"/>
          <w:sz w:val="20"/>
          <w:szCs w:val="20"/>
        </w:rPr>
        <w:t>, desde UGT Andalucía apostamos por desarrollar el contenido de la Alianza por el Hidrógeno Verde y la Alianza del Biogás, y estamos insistiendo al gobierno andaluz para que acelere las medidas que contienen los 9 Proyectos Tractores de Transición Justa, para generar empleo de calidad en las provincias afectadas por el desmantelamiento de las centrales térmicas.</w:t>
      </w:r>
    </w:p>
    <w:p w14:paraId="58C09F5E" w14:textId="77777777" w:rsidR="0018454A" w:rsidRDefault="0018454A" w:rsidP="0018454A">
      <w:pPr>
        <w:tabs>
          <w:tab w:val="num" w:pos="720"/>
        </w:tabs>
        <w:spacing w:line="254" w:lineRule="auto"/>
        <w:ind w:left="709"/>
        <w:jc w:val="both"/>
        <w:rPr>
          <w:rFonts w:ascii="Calibri" w:eastAsia="Calibri" w:hAnsi="Calibri" w:cs="Times New Roman"/>
          <w:b/>
          <w:bCs/>
          <w:sz w:val="20"/>
          <w:szCs w:val="20"/>
        </w:rPr>
      </w:pPr>
      <w:r w:rsidRPr="0018454A">
        <w:rPr>
          <w:rFonts w:ascii="Calibri" w:eastAsia="Calibri" w:hAnsi="Calibri" w:cs="Times New Roman"/>
          <w:sz w:val="20"/>
          <w:szCs w:val="20"/>
        </w:rPr>
        <w:t xml:space="preserve">A pesar de los datos macroeconómicos positivos, la traslación de estos beneficios a la economía de las familias trabajadoras sigue siendo el gran reto pendiente. </w:t>
      </w:r>
      <w:r>
        <w:rPr>
          <w:rFonts w:ascii="Calibri" w:eastAsia="Calibri" w:hAnsi="Calibri" w:cs="Times New Roman"/>
          <w:sz w:val="20"/>
          <w:szCs w:val="20"/>
        </w:rPr>
        <w:t xml:space="preserve"> Es fundamental una </w:t>
      </w:r>
      <w:r w:rsidRPr="0018454A">
        <w:rPr>
          <w:rFonts w:ascii="Calibri" w:eastAsia="Calibri" w:hAnsi="Calibri" w:cs="Times New Roman"/>
          <w:b/>
          <w:bCs/>
          <w:sz w:val="20"/>
          <w:szCs w:val="20"/>
        </w:rPr>
        <w:t>redistribución de la productividad</w:t>
      </w:r>
      <w:r>
        <w:rPr>
          <w:rFonts w:ascii="Calibri" w:eastAsia="Calibri" w:hAnsi="Calibri" w:cs="Times New Roman"/>
          <w:sz w:val="20"/>
          <w:szCs w:val="20"/>
        </w:rPr>
        <w:t xml:space="preserve">, donde el incremento en los beneficios empresariales revierta en subidas salariales reales para afrontar el aumento del coste de la vida garantizando que el valor generado por los trabajadores y trabajadoras andaluces no se quede exclusivamente en los márgenes empresariales. </w:t>
      </w:r>
    </w:p>
    <w:p w14:paraId="6AC7E809" w14:textId="77777777" w:rsidR="00D3616A" w:rsidRDefault="0018454A" w:rsidP="00D3616A">
      <w:pPr>
        <w:tabs>
          <w:tab w:val="num" w:pos="720"/>
        </w:tabs>
        <w:spacing w:line="254" w:lineRule="auto"/>
        <w:ind w:left="709"/>
        <w:jc w:val="both"/>
        <w:rPr>
          <w:rFonts w:ascii="Calibri" w:eastAsia="Calibri" w:hAnsi="Calibri" w:cs="Times New Roman"/>
          <w:b/>
          <w:bCs/>
          <w:sz w:val="20"/>
          <w:szCs w:val="20"/>
        </w:rPr>
      </w:pPr>
      <w:r w:rsidRPr="0018454A">
        <w:rPr>
          <w:rFonts w:ascii="Calibri" w:eastAsia="Calibri" w:hAnsi="Calibri" w:cs="Times New Roman"/>
          <w:sz w:val="20"/>
          <w:szCs w:val="20"/>
        </w:rPr>
        <w:t>El sector industrial</w:t>
      </w:r>
      <w:r>
        <w:rPr>
          <w:rFonts w:ascii="Calibri" w:eastAsia="Calibri" w:hAnsi="Calibri" w:cs="Times New Roman"/>
          <w:sz w:val="20"/>
          <w:szCs w:val="20"/>
        </w:rPr>
        <w:t xml:space="preserve">, que </w:t>
      </w:r>
      <w:r w:rsidRPr="0018454A">
        <w:rPr>
          <w:rFonts w:ascii="Calibri" w:eastAsia="Calibri" w:hAnsi="Calibri" w:cs="Times New Roman"/>
          <w:sz w:val="20"/>
          <w:szCs w:val="20"/>
        </w:rPr>
        <w:t>tradicionalmente</w:t>
      </w:r>
      <w:r>
        <w:rPr>
          <w:rFonts w:ascii="Calibri" w:eastAsia="Calibri" w:hAnsi="Calibri" w:cs="Times New Roman"/>
          <w:sz w:val="20"/>
          <w:szCs w:val="20"/>
        </w:rPr>
        <w:t xml:space="preserve"> es</w:t>
      </w:r>
      <w:r w:rsidRPr="0018454A">
        <w:rPr>
          <w:rFonts w:ascii="Calibri" w:eastAsia="Calibri" w:hAnsi="Calibri" w:cs="Times New Roman"/>
          <w:sz w:val="20"/>
          <w:szCs w:val="20"/>
        </w:rPr>
        <w:t xml:space="preserve"> fuente de empleo de calidad</w:t>
      </w:r>
      <w:r>
        <w:rPr>
          <w:rFonts w:ascii="Calibri" w:eastAsia="Calibri" w:hAnsi="Calibri" w:cs="Times New Roman"/>
          <w:sz w:val="20"/>
          <w:szCs w:val="20"/>
        </w:rPr>
        <w:t xml:space="preserve"> debe venir </w:t>
      </w:r>
      <w:r w:rsidRPr="0018454A">
        <w:rPr>
          <w:rFonts w:ascii="Calibri" w:eastAsia="Calibri" w:hAnsi="Calibri" w:cs="Times New Roman"/>
          <w:sz w:val="20"/>
          <w:szCs w:val="20"/>
        </w:rPr>
        <w:t>acompañado de una reducción drástica de la temporalidad</w:t>
      </w:r>
      <w:r>
        <w:rPr>
          <w:rFonts w:ascii="Calibri" w:eastAsia="Calibri" w:hAnsi="Calibri" w:cs="Times New Roman"/>
          <w:sz w:val="20"/>
          <w:szCs w:val="20"/>
        </w:rPr>
        <w:t xml:space="preserve"> y de una </w:t>
      </w:r>
      <w:r w:rsidRPr="0018454A">
        <w:rPr>
          <w:rFonts w:ascii="Calibri" w:eastAsia="Calibri" w:hAnsi="Calibri" w:cs="Times New Roman"/>
          <w:b/>
          <w:bCs/>
          <w:sz w:val="20"/>
          <w:szCs w:val="20"/>
        </w:rPr>
        <w:t>formación continua</w:t>
      </w:r>
      <w:r>
        <w:rPr>
          <w:rFonts w:ascii="Calibri" w:eastAsia="Calibri" w:hAnsi="Calibri" w:cs="Times New Roman"/>
          <w:sz w:val="20"/>
          <w:szCs w:val="20"/>
        </w:rPr>
        <w:t xml:space="preserve"> en nuevas tecnologías y digitalización para evitar que los trabajadores sean víctimas de la obsolescencia tecn</w:t>
      </w:r>
      <w:r w:rsidR="00D3616A">
        <w:rPr>
          <w:rFonts w:ascii="Calibri" w:eastAsia="Calibri" w:hAnsi="Calibri" w:cs="Times New Roman"/>
          <w:sz w:val="20"/>
          <w:szCs w:val="20"/>
        </w:rPr>
        <w:t>oló</w:t>
      </w:r>
      <w:r>
        <w:rPr>
          <w:rFonts w:ascii="Calibri" w:eastAsia="Calibri" w:hAnsi="Calibri" w:cs="Times New Roman"/>
          <w:sz w:val="20"/>
          <w:szCs w:val="20"/>
        </w:rPr>
        <w:t>g</w:t>
      </w:r>
      <w:r w:rsidR="00DC6102">
        <w:rPr>
          <w:rFonts w:ascii="Calibri" w:eastAsia="Calibri" w:hAnsi="Calibri" w:cs="Times New Roman"/>
          <w:sz w:val="20"/>
          <w:szCs w:val="20"/>
        </w:rPr>
        <w:t>ic</w:t>
      </w:r>
      <w:r>
        <w:rPr>
          <w:rFonts w:ascii="Calibri" w:eastAsia="Calibri" w:hAnsi="Calibri" w:cs="Times New Roman"/>
          <w:sz w:val="20"/>
          <w:szCs w:val="20"/>
        </w:rPr>
        <w:t>a.</w:t>
      </w:r>
      <w:r w:rsidRPr="0018454A">
        <w:rPr>
          <w:rFonts w:ascii="Calibri" w:eastAsia="Calibri" w:hAnsi="Calibri" w:cs="Times New Roman"/>
          <w:sz w:val="20"/>
          <w:szCs w:val="20"/>
        </w:rPr>
        <w:t xml:space="preserve"> </w:t>
      </w:r>
    </w:p>
    <w:p w14:paraId="4D80F2D9" w14:textId="122E8BC8" w:rsidR="0018454A" w:rsidRPr="0018454A" w:rsidRDefault="00D3616A" w:rsidP="00D3616A">
      <w:pPr>
        <w:tabs>
          <w:tab w:val="num" w:pos="720"/>
        </w:tabs>
        <w:spacing w:line="254" w:lineRule="auto"/>
        <w:ind w:left="709"/>
        <w:jc w:val="both"/>
        <w:rPr>
          <w:rFonts w:ascii="Calibri" w:eastAsia="Calibri" w:hAnsi="Calibri" w:cs="Times New Roman"/>
          <w:sz w:val="20"/>
          <w:szCs w:val="20"/>
        </w:rPr>
      </w:pPr>
      <w:r>
        <w:rPr>
          <w:rFonts w:ascii="Calibri" w:eastAsia="Calibri" w:hAnsi="Calibri" w:cs="Times New Roman"/>
          <w:sz w:val="20"/>
          <w:szCs w:val="20"/>
        </w:rPr>
        <w:t>Además, e</w:t>
      </w:r>
      <w:r w:rsidR="0018454A" w:rsidRPr="0018454A">
        <w:rPr>
          <w:rFonts w:ascii="Calibri" w:eastAsia="Calibri" w:hAnsi="Calibri" w:cs="Times New Roman"/>
          <w:sz w:val="20"/>
          <w:szCs w:val="20"/>
        </w:rPr>
        <w:t>l incremento de los ritmos de producción a menudo conlleva un aumento de la siniestralidad</w:t>
      </w:r>
      <w:r>
        <w:rPr>
          <w:rFonts w:ascii="Calibri" w:eastAsia="Calibri" w:hAnsi="Calibri" w:cs="Times New Roman"/>
          <w:sz w:val="20"/>
          <w:szCs w:val="20"/>
        </w:rPr>
        <w:t xml:space="preserve">, por lo que la tendencia positiva de la producción industrial en nuestra región no debe hacerse a costa de la seguridad y salud laboral de los trabajadores y trabajadoras andaluzas, cumpliendo con la normativa y los protocolos de prevención pertinentes. </w:t>
      </w:r>
    </w:p>
    <w:p w14:paraId="66F143A4" w14:textId="77777777" w:rsidR="0018454A" w:rsidRPr="0018454A" w:rsidRDefault="0018454A" w:rsidP="0018454A">
      <w:pPr>
        <w:spacing w:line="254" w:lineRule="auto"/>
        <w:ind w:left="709"/>
        <w:jc w:val="both"/>
        <w:rPr>
          <w:rFonts w:ascii="Calibri" w:eastAsia="Calibri" w:hAnsi="Calibri" w:cs="Times New Roman"/>
          <w:sz w:val="20"/>
          <w:szCs w:val="20"/>
        </w:rPr>
      </w:pPr>
    </w:p>
    <w:p w14:paraId="3307F1F2" w14:textId="77777777" w:rsidR="0018454A" w:rsidRPr="001000A1" w:rsidRDefault="0018454A" w:rsidP="00656747">
      <w:pPr>
        <w:spacing w:line="254" w:lineRule="auto"/>
        <w:ind w:left="709"/>
        <w:jc w:val="both"/>
        <w:rPr>
          <w:rFonts w:ascii="Calibri" w:eastAsia="Calibri" w:hAnsi="Calibri" w:cs="Times New Roman"/>
          <w:sz w:val="20"/>
          <w:szCs w:val="20"/>
        </w:rPr>
      </w:pPr>
    </w:p>
    <w:p w14:paraId="3DBC7343" w14:textId="77777777" w:rsidR="000A482C" w:rsidRDefault="000A482C" w:rsidP="00702A01">
      <w:pPr>
        <w:spacing w:line="254" w:lineRule="auto"/>
        <w:ind w:left="709"/>
        <w:jc w:val="both"/>
        <w:rPr>
          <w:rFonts w:ascii="Calibri" w:eastAsia="Calibri" w:hAnsi="Calibri" w:cs="Times New Roman"/>
          <w:sz w:val="20"/>
          <w:szCs w:val="20"/>
        </w:rPr>
      </w:pPr>
    </w:p>
    <w:p w14:paraId="03EA7197" w14:textId="77777777" w:rsidR="000A482C" w:rsidRPr="000A482C" w:rsidRDefault="000A482C" w:rsidP="000A482C">
      <w:pPr>
        <w:spacing w:after="0" w:line="240" w:lineRule="auto"/>
        <w:jc w:val="both"/>
        <w:rPr>
          <w:rFonts w:ascii="Calibri" w:eastAsia="Times New Roman" w:hAnsi="Calibri" w:cs="Calibri"/>
          <w:kern w:val="0"/>
          <w:sz w:val="20"/>
          <w:szCs w:val="20"/>
          <w:lang w:eastAsia="es-ES"/>
          <w14:ligatures w14:val="none"/>
        </w:rPr>
      </w:pPr>
    </w:p>
    <w:p w14:paraId="2FA14C20" w14:textId="77777777" w:rsidR="000A482C" w:rsidRPr="000A482C" w:rsidRDefault="000A482C" w:rsidP="000A482C">
      <w:pPr>
        <w:spacing w:after="0" w:line="240" w:lineRule="auto"/>
        <w:jc w:val="both"/>
        <w:rPr>
          <w:rFonts w:ascii="Calibri" w:eastAsia="Times New Roman" w:hAnsi="Calibri" w:cs="Calibri"/>
          <w:kern w:val="0"/>
          <w:sz w:val="20"/>
          <w:szCs w:val="20"/>
          <w:lang w:eastAsia="es-ES"/>
          <w14:ligatures w14:val="none"/>
        </w:rPr>
      </w:pPr>
    </w:p>
    <w:sectPr w:rsidR="000A482C" w:rsidRPr="000A482C" w:rsidSect="00695A1D">
      <w:headerReference w:type="default" r:id="rId13"/>
      <w:footerReference w:type="default" r:id="rId14"/>
      <w:pgSz w:w="11906" w:h="16838"/>
      <w:pgMar w:top="2269" w:right="992" w:bottom="1418" w:left="709" w:header="1140" w:footer="709" w:gutter="0"/>
      <w:pgBorders w:display="notFirstPage" w:offsetFrom="page">
        <w:top w:val="single" w:sz="4" w:space="24" w:color="DD492B"/>
        <w:left w:val="single" w:sz="4" w:space="24" w:color="DD492B"/>
        <w:bottom w:val="single" w:sz="4" w:space="24" w:color="DD492B"/>
        <w:right w:val="single" w:sz="4" w:space="24" w:color="DD492B"/>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1711B4" w14:textId="77777777" w:rsidR="007F1EB6" w:rsidRDefault="007F1EB6" w:rsidP="00B24EA3">
      <w:pPr>
        <w:spacing w:after="0" w:line="240" w:lineRule="auto"/>
      </w:pPr>
      <w:r>
        <w:separator/>
      </w:r>
    </w:p>
  </w:endnote>
  <w:endnote w:type="continuationSeparator" w:id="0">
    <w:p w14:paraId="0BD56C24" w14:textId="77777777" w:rsidR="007F1EB6" w:rsidRDefault="007F1EB6" w:rsidP="00B24E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2175152"/>
      <w:docPartObj>
        <w:docPartGallery w:val="Page Numbers (Bottom of Page)"/>
        <w:docPartUnique/>
      </w:docPartObj>
    </w:sdtPr>
    <w:sdtContent>
      <w:p w14:paraId="18AD82D6" w14:textId="18BD22A5" w:rsidR="00B24EA3" w:rsidRDefault="00B24EA3">
        <w:pPr>
          <w:pStyle w:val="Piedepgina"/>
          <w:jc w:val="right"/>
        </w:pPr>
        <w:r>
          <w:fldChar w:fldCharType="begin"/>
        </w:r>
        <w:r>
          <w:instrText>PAGE   \* MERGEFORMAT</w:instrText>
        </w:r>
        <w:r>
          <w:fldChar w:fldCharType="separate"/>
        </w:r>
        <w:r>
          <w:t>2</w:t>
        </w:r>
        <w:r>
          <w:fldChar w:fldCharType="end"/>
        </w:r>
      </w:p>
    </w:sdtContent>
  </w:sdt>
  <w:p w14:paraId="1933E15B" w14:textId="77777777" w:rsidR="00B24EA3" w:rsidRDefault="00B24EA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38F65F" w14:textId="77777777" w:rsidR="007F1EB6" w:rsidRDefault="007F1EB6" w:rsidP="00B24EA3">
      <w:pPr>
        <w:spacing w:after="0" w:line="240" w:lineRule="auto"/>
      </w:pPr>
      <w:r>
        <w:separator/>
      </w:r>
    </w:p>
  </w:footnote>
  <w:footnote w:type="continuationSeparator" w:id="0">
    <w:p w14:paraId="41F3C234" w14:textId="77777777" w:rsidR="007F1EB6" w:rsidRDefault="007F1EB6" w:rsidP="00B24E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1CA6C" w14:textId="0FDD19C2" w:rsidR="00B24EA3" w:rsidRDefault="003D6422" w:rsidP="008760C4">
    <w:pPr>
      <w:pStyle w:val="Encabezado"/>
    </w:pPr>
    <w:r>
      <w:rPr>
        <w:noProof/>
      </w:rPr>
      <w:drawing>
        <wp:anchor distT="0" distB="0" distL="114300" distR="114300" simplePos="0" relativeHeight="251659264" behindDoc="0" locked="0" layoutInCell="1" allowOverlap="1" wp14:anchorId="444250DB" wp14:editId="7F3E58BF">
          <wp:simplePos x="0" y="0"/>
          <wp:positionH relativeFrom="margin">
            <wp:posOffset>5047924</wp:posOffset>
          </wp:positionH>
          <wp:positionV relativeFrom="paragraph">
            <wp:posOffset>-386818</wp:posOffset>
          </wp:positionV>
          <wp:extent cx="1589188" cy="655138"/>
          <wp:effectExtent l="0" t="0" r="0" b="0"/>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9188" cy="655138"/>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7181E"/>
    <w:multiLevelType w:val="hybridMultilevel"/>
    <w:tmpl w:val="74BCD30C"/>
    <w:lvl w:ilvl="0" w:tplc="0C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E7432AA"/>
    <w:multiLevelType w:val="hybridMultilevel"/>
    <w:tmpl w:val="A8509F82"/>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15:restartNumberingAfterBreak="0">
    <w:nsid w:val="22E857DD"/>
    <w:multiLevelType w:val="hybridMultilevel"/>
    <w:tmpl w:val="80A478D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3EDE7A88"/>
    <w:multiLevelType w:val="hybridMultilevel"/>
    <w:tmpl w:val="8DC663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FFA23A6"/>
    <w:multiLevelType w:val="hybridMultilevel"/>
    <w:tmpl w:val="A81A84D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5" w15:restartNumberingAfterBreak="0">
    <w:nsid w:val="45464FE5"/>
    <w:multiLevelType w:val="hybridMultilevel"/>
    <w:tmpl w:val="B0F05E82"/>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15:restartNumberingAfterBreak="0">
    <w:nsid w:val="52C05511"/>
    <w:multiLevelType w:val="hybridMultilevel"/>
    <w:tmpl w:val="EABA628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618F7100"/>
    <w:multiLevelType w:val="hybridMultilevel"/>
    <w:tmpl w:val="DAAEDD9E"/>
    <w:lvl w:ilvl="0" w:tplc="0C0A0001">
      <w:start w:val="1"/>
      <w:numFmt w:val="bullet"/>
      <w:lvlText w:val=""/>
      <w:lvlJc w:val="left"/>
      <w:pPr>
        <w:ind w:left="1080" w:hanging="360"/>
      </w:pPr>
      <w:rPr>
        <w:rFonts w:ascii="Symbol" w:hAnsi="Symbol" w:hint="default"/>
      </w:rPr>
    </w:lvl>
    <w:lvl w:ilvl="1" w:tplc="0C0A0003">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15:restartNumberingAfterBreak="0">
    <w:nsid w:val="6F927933"/>
    <w:multiLevelType w:val="multilevel"/>
    <w:tmpl w:val="F15E4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D2A7510"/>
    <w:multiLevelType w:val="hybridMultilevel"/>
    <w:tmpl w:val="4F7478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7EC4736E"/>
    <w:multiLevelType w:val="hybridMultilevel"/>
    <w:tmpl w:val="10C83D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086072997">
    <w:abstractNumId w:val="10"/>
  </w:num>
  <w:num w:numId="2" w16cid:durableId="288055223">
    <w:abstractNumId w:val="5"/>
  </w:num>
  <w:num w:numId="3" w16cid:durableId="1338727470">
    <w:abstractNumId w:val="2"/>
  </w:num>
  <w:num w:numId="4" w16cid:durableId="1193960594">
    <w:abstractNumId w:val="1"/>
  </w:num>
  <w:num w:numId="5" w16cid:durableId="810368616">
    <w:abstractNumId w:val="7"/>
  </w:num>
  <w:num w:numId="6" w16cid:durableId="881746688">
    <w:abstractNumId w:val="4"/>
  </w:num>
  <w:num w:numId="7" w16cid:durableId="122816473">
    <w:abstractNumId w:val="6"/>
  </w:num>
  <w:num w:numId="8" w16cid:durableId="1439713247">
    <w:abstractNumId w:val="9"/>
  </w:num>
  <w:num w:numId="9" w16cid:durableId="1740205047">
    <w:abstractNumId w:val="3"/>
  </w:num>
  <w:num w:numId="10" w16cid:durableId="1632637738">
    <w:abstractNumId w:val="0"/>
  </w:num>
  <w:num w:numId="11" w16cid:durableId="96367094">
    <w:abstractNumId w:val="4"/>
  </w:num>
  <w:num w:numId="12" w16cid:durableId="16787336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15D0"/>
    <w:rsid w:val="00000963"/>
    <w:rsid w:val="00002A4B"/>
    <w:rsid w:val="00003E39"/>
    <w:rsid w:val="00005D11"/>
    <w:rsid w:val="00007630"/>
    <w:rsid w:val="00010DBA"/>
    <w:rsid w:val="00013EC5"/>
    <w:rsid w:val="00014556"/>
    <w:rsid w:val="00015F36"/>
    <w:rsid w:val="0003188F"/>
    <w:rsid w:val="0003611E"/>
    <w:rsid w:val="00040842"/>
    <w:rsid w:val="00043713"/>
    <w:rsid w:val="00044007"/>
    <w:rsid w:val="000464E2"/>
    <w:rsid w:val="00047939"/>
    <w:rsid w:val="0005614B"/>
    <w:rsid w:val="00062576"/>
    <w:rsid w:val="00064317"/>
    <w:rsid w:val="00064914"/>
    <w:rsid w:val="00066415"/>
    <w:rsid w:val="00067285"/>
    <w:rsid w:val="00082038"/>
    <w:rsid w:val="00083F1B"/>
    <w:rsid w:val="000857EF"/>
    <w:rsid w:val="0008776F"/>
    <w:rsid w:val="00091586"/>
    <w:rsid w:val="0009194F"/>
    <w:rsid w:val="0009287D"/>
    <w:rsid w:val="00096ED3"/>
    <w:rsid w:val="000977E1"/>
    <w:rsid w:val="000A482C"/>
    <w:rsid w:val="000A492A"/>
    <w:rsid w:val="000A6FBC"/>
    <w:rsid w:val="000B2E77"/>
    <w:rsid w:val="000B5C5D"/>
    <w:rsid w:val="000B665A"/>
    <w:rsid w:val="000B7E8C"/>
    <w:rsid w:val="000C0DBD"/>
    <w:rsid w:val="000C64E8"/>
    <w:rsid w:val="000C688C"/>
    <w:rsid w:val="000C7B0D"/>
    <w:rsid w:val="000D1A5A"/>
    <w:rsid w:val="000D2F8D"/>
    <w:rsid w:val="000D469E"/>
    <w:rsid w:val="000D616A"/>
    <w:rsid w:val="000D6529"/>
    <w:rsid w:val="000D7E48"/>
    <w:rsid w:val="000E474D"/>
    <w:rsid w:val="000F08F5"/>
    <w:rsid w:val="000F6151"/>
    <w:rsid w:val="001000A1"/>
    <w:rsid w:val="00100456"/>
    <w:rsid w:val="00111DDA"/>
    <w:rsid w:val="00112652"/>
    <w:rsid w:val="001131E5"/>
    <w:rsid w:val="00114E13"/>
    <w:rsid w:val="0011595D"/>
    <w:rsid w:val="001164F1"/>
    <w:rsid w:val="00120AA6"/>
    <w:rsid w:val="0012196F"/>
    <w:rsid w:val="00124571"/>
    <w:rsid w:val="00126C3C"/>
    <w:rsid w:val="001275C2"/>
    <w:rsid w:val="00130619"/>
    <w:rsid w:val="0013227F"/>
    <w:rsid w:val="001327B6"/>
    <w:rsid w:val="0014261A"/>
    <w:rsid w:val="001503F2"/>
    <w:rsid w:val="001552F7"/>
    <w:rsid w:val="00155D64"/>
    <w:rsid w:val="00161D27"/>
    <w:rsid w:val="00162189"/>
    <w:rsid w:val="00162825"/>
    <w:rsid w:val="00165AFA"/>
    <w:rsid w:val="00167F05"/>
    <w:rsid w:val="00170C11"/>
    <w:rsid w:val="00173265"/>
    <w:rsid w:val="00173D54"/>
    <w:rsid w:val="0017555E"/>
    <w:rsid w:val="00180317"/>
    <w:rsid w:val="00182E08"/>
    <w:rsid w:val="00182EE2"/>
    <w:rsid w:val="0018454A"/>
    <w:rsid w:val="00193121"/>
    <w:rsid w:val="00193369"/>
    <w:rsid w:val="001A3213"/>
    <w:rsid w:val="001A57E0"/>
    <w:rsid w:val="001A59FD"/>
    <w:rsid w:val="001A76DA"/>
    <w:rsid w:val="001A7A7A"/>
    <w:rsid w:val="001B07A5"/>
    <w:rsid w:val="001B14BD"/>
    <w:rsid w:val="001B30C2"/>
    <w:rsid w:val="001B7328"/>
    <w:rsid w:val="001B7615"/>
    <w:rsid w:val="001C42D9"/>
    <w:rsid w:val="001C4B1D"/>
    <w:rsid w:val="001C6B92"/>
    <w:rsid w:val="001C763A"/>
    <w:rsid w:val="001C7A23"/>
    <w:rsid w:val="001D04C0"/>
    <w:rsid w:val="001D502C"/>
    <w:rsid w:val="001D51A7"/>
    <w:rsid w:val="001D657B"/>
    <w:rsid w:val="001D777B"/>
    <w:rsid w:val="001D7EF4"/>
    <w:rsid w:val="001E523A"/>
    <w:rsid w:val="001F1C42"/>
    <w:rsid w:val="001F238E"/>
    <w:rsid w:val="001F2FEA"/>
    <w:rsid w:val="001F4E85"/>
    <w:rsid w:val="001F61E9"/>
    <w:rsid w:val="00206297"/>
    <w:rsid w:val="00210542"/>
    <w:rsid w:val="002129B1"/>
    <w:rsid w:val="002131D5"/>
    <w:rsid w:val="002215FF"/>
    <w:rsid w:val="00231576"/>
    <w:rsid w:val="00241627"/>
    <w:rsid w:val="00242620"/>
    <w:rsid w:val="002451F8"/>
    <w:rsid w:val="00245575"/>
    <w:rsid w:val="00247C6C"/>
    <w:rsid w:val="00251A86"/>
    <w:rsid w:val="00253AF1"/>
    <w:rsid w:val="00255E03"/>
    <w:rsid w:val="00256C7D"/>
    <w:rsid w:val="0026072C"/>
    <w:rsid w:val="00260CA8"/>
    <w:rsid w:val="00263700"/>
    <w:rsid w:val="00263B42"/>
    <w:rsid w:val="00267653"/>
    <w:rsid w:val="002724D7"/>
    <w:rsid w:val="00273C3B"/>
    <w:rsid w:val="0027775D"/>
    <w:rsid w:val="00280980"/>
    <w:rsid w:val="00287329"/>
    <w:rsid w:val="00287F9B"/>
    <w:rsid w:val="0029217F"/>
    <w:rsid w:val="00295243"/>
    <w:rsid w:val="002968E6"/>
    <w:rsid w:val="002A0FE0"/>
    <w:rsid w:val="002A1913"/>
    <w:rsid w:val="002A39ED"/>
    <w:rsid w:val="002A4EAC"/>
    <w:rsid w:val="002A6409"/>
    <w:rsid w:val="002A757E"/>
    <w:rsid w:val="002A76A1"/>
    <w:rsid w:val="002A7E00"/>
    <w:rsid w:val="002B07A3"/>
    <w:rsid w:val="002B4649"/>
    <w:rsid w:val="002C0C0C"/>
    <w:rsid w:val="002C3662"/>
    <w:rsid w:val="002C7AC0"/>
    <w:rsid w:val="002D1616"/>
    <w:rsid w:val="002D3AC1"/>
    <w:rsid w:val="002E0CE1"/>
    <w:rsid w:val="002E1BAF"/>
    <w:rsid w:val="002E1D08"/>
    <w:rsid w:val="002E2367"/>
    <w:rsid w:val="002E4D10"/>
    <w:rsid w:val="002F0E1F"/>
    <w:rsid w:val="002F1A81"/>
    <w:rsid w:val="002F2930"/>
    <w:rsid w:val="002F7884"/>
    <w:rsid w:val="00303A19"/>
    <w:rsid w:val="00304AE4"/>
    <w:rsid w:val="0030631C"/>
    <w:rsid w:val="00313E50"/>
    <w:rsid w:val="00320063"/>
    <w:rsid w:val="00327D00"/>
    <w:rsid w:val="003410AC"/>
    <w:rsid w:val="00341E1D"/>
    <w:rsid w:val="00351C91"/>
    <w:rsid w:val="00352030"/>
    <w:rsid w:val="0035226E"/>
    <w:rsid w:val="003529CE"/>
    <w:rsid w:val="0035672B"/>
    <w:rsid w:val="003615A4"/>
    <w:rsid w:val="00362CFA"/>
    <w:rsid w:val="00362EAC"/>
    <w:rsid w:val="003635D8"/>
    <w:rsid w:val="00366DD9"/>
    <w:rsid w:val="003719CE"/>
    <w:rsid w:val="00371ECC"/>
    <w:rsid w:val="003736E6"/>
    <w:rsid w:val="003775BB"/>
    <w:rsid w:val="00391DF3"/>
    <w:rsid w:val="00395041"/>
    <w:rsid w:val="00395B79"/>
    <w:rsid w:val="003A23DA"/>
    <w:rsid w:val="003A2A94"/>
    <w:rsid w:val="003A2FA6"/>
    <w:rsid w:val="003A4D85"/>
    <w:rsid w:val="003A55B3"/>
    <w:rsid w:val="003B4B42"/>
    <w:rsid w:val="003B7EE6"/>
    <w:rsid w:val="003C2E45"/>
    <w:rsid w:val="003C4178"/>
    <w:rsid w:val="003C56BF"/>
    <w:rsid w:val="003C5EAF"/>
    <w:rsid w:val="003C631B"/>
    <w:rsid w:val="003C6C04"/>
    <w:rsid w:val="003C6F72"/>
    <w:rsid w:val="003C6FB7"/>
    <w:rsid w:val="003C7644"/>
    <w:rsid w:val="003D210D"/>
    <w:rsid w:val="003D636E"/>
    <w:rsid w:val="003D6422"/>
    <w:rsid w:val="003E5CBB"/>
    <w:rsid w:val="003E692C"/>
    <w:rsid w:val="003F061A"/>
    <w:rsid w:val="003F2ED8"/>
    <w:rsid w:val="003F7318"/>
    <w:rsid w:val="00404191"/>
    <w:rsid w:val="00405C9F"/>
    <w:rsid w:val="00406DD6"/>
    <w:rsid w:val="00413E7C"/>
    <w:rsid w:val="0042260A"/>
    <w:rsid w:val="00423A6E"/>
    <w:rsid w:val="004301CE"/>
    <w:rsid w:val="00433C7F"/>
    <w:rsid w:val="0043435D"/>
    <w:rsid w:val="00435633"/>
    <w:rsid w:val="004365EA"/>
    <w:rsid w:val="004379C0"/>
    <w:rsid w:val="00441B23"/>
    <w:rsid w:val="00441D81"/>
    <w:rsid w:val="0044679A"/>
    <w:rsid w:val="004476D6"/>
    <w:rsid w:val="00450450"/>
    <w:rsid w:val="0045051B"/>
    <w:rsid w:val="00451E7D"/>
    <w:rsid w:val="0045277C"/>
    <w:rsid w:val="00452B37"/>
    <w:rsid w:val="00456478"/>
    <w:rsid w:val="00461DCD"/>
    <w:rsid w:val="004635AB"/>
    <w:rsid w:val="0046727D"/>
    <w:rsid w:val="00467996"/>
    <w:rsid w:val="00467F3F"/>
    <w:rsid w:val="0047550B"/>
    <w:rsid w:val="0047608F"/>
    <w:rsid w:val="00477A32"/>
    <w:rsid w:val="0048354E"/>
    <w:rsid w:val="00486172"/>
    <w:rsid w:val="00486F9E"/>
    <w:rsid w:val="00490276"/>
    <w:rsid w:val="00490858"/>
    <w:rsid w:val="0049146D"/>
    <w:rsid w:val="004936F9"/>
    <w:rsid w:val="00494339"/>
    <w:rsid w:val="004946AF"/>
    <w:rsid w:val="00494F21"/>
    <w:rsid w:val="004958D6"/>
    <w:rsid w:val="0049649F"/>
    <w:rsid w:val="00496613"/>
    <w:rsid w:val="004A1424"/>
    <w:rsid w:val="004A1CD8"/>
    <w:rsid w:val="004A2CB4"/>
    <w:rsid w:val="004A5E65"/>
    <w:rsid w:val="004B06DB"/>
    <w:rsid w:val="004B5C37"/>
    <w:rsid w:val="004C0074"/>
    <w:rsid w:val="004C350C"/>
    <w:rsid w:val="004C665B"/>
    <w:rsid w:val="004D1D72"/>
    <w:rsid w:val="004D45EE"/>
    <w:rsid w:val="004D5A22"/>
    <w:rsid w:val="004D6BAF"/>
    <w:rsid w:val="004E474F"/>
    <w:rsid w:val="004E5B4D"/>
    <w:rsid w:val="004F3C3B"/>
    <w:rsid w:val="004F6267"/>
    <w:rsid w:val="004F6648"/>
    <w:rsid w:val="005017A8"/>
    <w:rsid w:val="005027FE"/>
    <w:rsid w:val="0050393F"/>
    <w:rsid w:val="00504BA6"/>
    <w:rsid w:val="00504E1A"/>
    <w:rsid w:val="00505820"/>
    <w:rsid w:val="00511F9A"/>
    <w:rsid w:val="005149A1"/>
    <w:rsid w:val="00514DC4"/>
    <w:rsid w:val="00514FD0"/>
    <w:rsid w:val="00515117"/>
    <w:rsid w:val="00515411"/>
    <w:rsid w:val="00516481"/>
    <w:rsid w:val="00516AAC"/>
    <w:rsid w:val="005228A2"/>
    <w:rsid w:val="00524902"/>
    <w:rsid w:val="00527173"/>
    <w:rsid w:val="00530B48"/>
    <w:rsid w:val="00532456"/>
    <w:rsid w:val="0053564C"/>
    <w:rsid w:val="00535C30"/>
    <w:rsid w:val="0053644D"/>
    <w:rsid w:val="00540B16"/>
    <w:rsid w:val="00541223"/>
    <w:rsid w:val="00541783"/>
    <w:rsid w:val="005429C2"/>
    <w:rsid w:val="00542D37"/>
    <w:rsid w:val="005454AD"/>
    <w:rsid w:val="0054558C"/>
    <w:rsid w:val="00545A39"/>
    <w:rsid w:val="005518DA"/>
    <w:rsid w:val="0055225B"/>
    <w:rsid w:val="00552F6C"/>
    <w:rsid w:val="0055406A"/>
    <w:rsid w:val="00555207"/>
    <w:rsid w:val="00556A83"/>
    <w:rsid w:val="00561E61"/>
    <w:rsid w:val="00565C68"/>
    <w:rsid w:val="00571DA8"/>
    <w:rsid w:val="005757CD"/>
    <w:rsid w:val="00575CB1"/>
    <w:rsid w:val="00581FE2"/>
    <w:rsid w:val="00585795"/>
    <w:rsid w:val="00585C60"/>
    <w:rsid w:val="00587634"/>
    <w:rsid w:val="00590D6F"/>
    <w:rsid w:val="00591049"/>
    <w:rsid w:val="005952C6"/>
    <w:rsid w:val="005957C7"/>
    <w:rsid w:val="00597F09"/>
    <w:rsid w:val="005A0A54"/>
    <w:rsid w:val="005A1637"/>
    <w:rsid w:val="005A311A"/>
    <w:rsid w:val="005A493B"/>
    <w:rsid w:val="005A626E"/>
    <w:rsid w:val="005A7B98"/>
    <w:rsid w:val="005B0A6C"/>
    <w:rsid w:val="005B0DD9"/>
    <w:rsid w:val="005B2E28"/>
    <w:rsid w:val="005B4843"/>
    <w:rsid w:val="005B5E9C"/>
    <w:rsid w:val="005B642A"/>
    <w:rsid w:val="005B68BE"/>
    <w:rsid w:val="005C0AEE"/>
    <w:rsid w:val="005C3699"/>
    <w:rsid w:val="005C3FBB"/>
    <w:rsid w:val="005C5865"/>
    <w:rsid w:val="005D49F7"/>
    <w:rsid w:val="005D63B3"/>
    <w:rsid w:val="005D6474"/>
    <w:rsid w:val="005D6994"/>
    <w:rsid w:val="005E42CD"/>
    <w:rsid w:val="005E787F"/>
    <w:rsid w:val="005E791A"/>
    <w:rsid w:val="005F288E"/>
    <w:rsid w:val="005F57DF"/>
    <w:rsid w:val="005F5D2E"/>
    <w:rsid w:val="005F60E0"/>
    <w:rsid w:val="005F63E8"/>
    <w:rsid w:val="005F6E41"/>
    <w:rsid w:val="005F7A11"/>
    <w:rsid w:val="00601C4B"/>
    <w:rsid w:val="0060232E"/>
    <w:rsid w:val="00607AEF"/>
    <w:rsid w:val="00615AAD"/>
    <w:rsid w:val="00616142"/>
    <w:rsid w:val="00616CEF"/>
    <w:rsid w:val="00622B8B"/>
    <w:rsid w:val="00622C05"/>
    <w:rsid w:val="006260CF"/>
    <w:rsid w:val="006325F3"/>
    <w:rsid w:val="00634493"/>
    <w:rsid w:val="006370F9"/>
    <w:rsid w:val="00640A51"/>
    <w:rsid w:val="00650801"/>
    <w:rsid w:val="00650F1F"/>
    <w:rsid w:val="00653CC7"/>
    <w:rsid w:val="006540AD"/>
    <w:rsid w:val="0065544D"/>
    <w:rsid w:val="006564B2"/>
    <w:rsid w:val="00656747"/>
    <w:rsid w:val="00657064"/>
    <w:rsid w:val="0066462E"/>
    <w:rsid w:val="00664AE9"/>
    <w:rsid w:val="00664E9E"/>
    <w:rsid w:val="00665082"/>
    <w:rsid w:val="0066666F"/>
    <w:rsid w:val="006673A9"/>
    <w:rsid w:val="00671A8B"/>
    <w:rsid w:val="00671CFE"/>
    <w:rsid w:val="00674C56"/>
    <w:rsid w:val="006775A5"/>
    <w:rsid w:val="0068391D"/>
    <w:rsid w:val="0068697C"/>
    <w:rsid w:val="006876B0"/>
    <w:rsid w:val="00687BB8"/>
    <w:rsid w:val="00691F02"/>
    <w:rsid w:val="00693D60"/>
    <w:rsid w:val="00695A1D"/>
    <w:rsid w:val="006964F3"/>
    <w:rsid w:val="0069666A"/>
    <w:rsid w:val="0069699A"/>
    <w:rsid w:val="006A1920"/>
    <w:rsid w:val="006A4208"/>
    <w:rsid w:val="006B06C6"/>
    <w:rsid w:val="006B2EDF"/>
    <w:rsid w:val="006B4CD9"/>
    <w:rsid w:val="006B58BC"/>
    <w:rsid w:val="006B7BBE"/>
    <w:rsid w:val="006C532F"/>
    <w:rsid w:val="006C5E34"/>
    <w:rsid w:val="006C74EB"/>
    <w:rsid w:val="006C752E"/>
    <w:rsid w:val="006D1EBB"/>
    <w:rsid w:val="006D3B57"/>
    <w:rsid w:val="006D431D"/>
    <w:rsid w:val="006D45CF"/>
    <w:rsid w:val="006D4FA2"/>
    <w:rsid w:val="006D53B4"/>
    <w:rsid w:val="006D5891"/>
    <w:rsid w:val="006D6350"/>
    <w:rsid w:val="006D6D74"/>
    <w:rsid w:val="006E496F"/>
    <w:rsid w:val="006E51DD"/>
    <w:rsid w:val="006E6952"/>
    <w:rsid w:val="006F3055"/>
    <w:rsid w:val="006F33AD"/>
    <w:rsid w:val="006F6E2C"/>
    <w:rsid w:val="00700F78"/>
    <w:rsid w:val="00702A01"/>
    <w:rsid w:val="007036CC"/>
    <w:rsid w:val="00707E41"/>
    <w:rsid w:val="007134FD"/>
    <w:rsid w:val="00713A07"/>
    <w:rsid w:val="00725AF2"/>
    <w:rsid w:val="00726CD3"/>
    <w:rsid w:val="007278BF"/>
    <w:rsid w:val="00735446"/>
    <w:rsid w:val="0074152D"/>
    <w:rsid w:val="00741C88"/>
    <w:rsid w:val="00746BE5"/>
    <w:rsid w:val="0075450D"/>
    <w:rsid w:val="00760143"/>
    <w:rsid w:val="00764E5F"/>
    <w:rsid w:val="0076557F"/>
    <w:rsid w:val="00765B37"/>
    <w:rsid w:val="00771232"/>
    <w:rsid w:val="00771C17"/>
    <w:rsid w:val="00773161"/>
    <w:rsid w:val="00773BBF"/>
    <w:rsid w:val="00774C5B"/>
    <w:rsid w:val="0078343A"/>
    <w:rsid w:val="007866BC"/>
    <w:rsid w:val="0078703E"/>
    <w:rsid w:val="00790D92"/>
    <w:rsid w:val="007911F0"/>
    <w:rsid w:val="00795D46"/>
    <w:rsid w:val="0079616B"/>
    <w:rsid w:val="007961FB"/>
    <w:rsid w:val="007A0906"/>
    <w:rsid w:val="007A2F39"/>
    <w:rsid w:val="007A31F0"/>
    <w:rsid w:val="007A42B8"/>
    <w:rsid w:val="007A684A"/>
    <w:rsid w:val="007A7A57"/>
    <w:rsid w:val="007B4907"/>
    <w:rsid w:val="007C0BAA"/>
    <w:rsid w:val="007C1644"/>
    <w:rsid w:val="007C2EF5"/>
    <w:rsid w:val="007C5299"/>
    <w:rsid w:val="007C72F4"/>
    <w:rsid w:val="007D4436"/>
    <w:rsid w:val="007D5975"/>
    <w:rsid w:val="007D5F6A"/>
    <w:rsid w:val="007D7A66"/>
    <w:rsid w:val="007E3EF1"/>
    <w:rsid w:val="007E5A98"/>
    <w:rsid w:val="007E6BDC"/>
    <w:rsid w:val="007E7D70"/>
    <w:rsid w:val="007F15D0"/>
    <w:rsid w:val="007F1EB6"/>
    <w:rsid w:val="007F20B6"/>
    <w:rsid w:val="007F3582"/>
    <w:rsid w:val="007F36CA"/>
    <w:rsid w:val="00804FCF"/>
    <w:rsid w:val="00806007"/>
    <w:rsid w:val="0081096A"/>
    <w:rsid w:val="0081446F"/>
    <w:rsid w:val="008179FD"/>
    <w:rsid w:val="00821193"/>
    <w:rsid w:val="008219DA"/>
    <w:rsid w:val="00822D48"/>
    <w:rsid w:val="00827BE0"/>
    <w:rsid w:val="008305AC"/>
    <w:rsid w:val="00834F1A"/>
    <w:rsid w:val="00837578"/>
    <w:rsid w:val="0083781A"/>
    <w:rsid w:val="008408B9"/>
    <w:rsid w:val="008430F6"/>
    <w:rsid w:val="00843591"/>
    <w:rsid w:val="00843C7F"/>
    <w:rsid w:val="00844013"/>
    <w:rsid w:val="00845961"/>
    <w:rsid w:val="00846D20"/>
    <w:rsid w:val="008534F8"/>
    <w:rsid w:val="00855191"/>
    <w:rsid w:val="00855721"/>
    <w:rsid w:val="008558D5"/>
    <w:rsid w:val="008565F7"/>
    <w:rsid w:val="00861DBD"/>
    <w:rsid w:val="00862197"/>
    <w:rsid w:val="008669DE"/>
    <w:rsid w:val="00873865"/>
    <w:rsid w:val="00874B5E"/>
    <w:rsid w:val="00874F55"/>
    <w:rsid w:val="008760C4"/>
    <w:rsid w:val="00882650"/>
    <w:rsid w:val="0088688D"/>
    <w:rsid w:val="00890C69"/>
    <w:rsid w:val="008924C2"/>
    <w:rsid w:val="008940AD"/>
    <w:rsid w:val="008960DD"/>
    <w:rsid w:val="00897A4E"/>
    <w:rsid w:val="008A3FFA"/>
    <w:rsid w:val="008B04D0"/>
    <w:rsid w:val="008B4CC2"/>
    <w:rsid w:val="008B5D45"/>
    <w:rsid w:val="008B5D69"/>
    <w:rsid w:val="008C121A"/>
    <w:rsid w:val="008C33F0"/>
    <w:rsid w:val="008C43CA"/>
    <w:rsid w:val="008C45EE"/>
    <w:rsid w:val="008D08F1"/>
    <w:rsid w:val="008D1133"/>
    <w:rsid w:val="008D3C9B"/>
    <w:rsid w:val="008D6F45"/>
    <w:rsid w:val="008D712E"/>
    <w:rsid w:val="008D785B"/>
    <w:rsid w:val="008E3424"/>
    <w:rsid w:val="008E7A70"/>
    <w:rsid w:val="008F10E9"/>
    <w:rsid w:val="008F14D0"/>
    <w:rsid w:val="008F2B65"/>
    <w:rsid w:val="008F38A2"/>
    <w:rsid w:val="008F3ED0"/>
    <w:rsid w:val="008F4E00"/>
    <w:rsid w:val="008F6270"/>
    <w:rsid w:val="008F7C16"/>
    <w:rsid w:val="0090367B"/>
    <w:rsid w:val="009037B9"/>
    <w:rsid w:val="00911425"/>
    <w:rsid w:val="00912A3E"/>
    <w:rsid w:val="0092361B"/>
    <w:rsid w:val="0092633E"/>
    <w:rsid w:val="009279AE"/>
    <w:rsid w:val="00927DC4"/>
    <w:rsid w:val="0093133B"/>
    <w:rsid w:val="0093274F"/>
    <w:rsid w:val="00935889"/>
    <w:rsid w:val="00937DB4"/>
    <w:rsid w:val="00937FCD"/>
    <w:rsid w:val="00941507"/>
    <w:rsid w:val="00942260"/>
    <w:rsid w:val="00942B89"/>
    <w:rsid w:val="00942D33"/>
    <w:rsid w:val="00945477"/>
    <w:rsid w:val="00945888"/>
    <w:rsid w:val="00950FEC"/>
    <w:rsid w:val="009528EC"/>
    <w:rsid w:val="00954C22"/>
    <w:rsid w:val="009563D8"/>
    <w:rsid w:val="00957038"/>
    <w:rsid w:val="00957553"/>
    <w:rsid w:val="009621C3"/>
    <w:rsid w:val="00962F36"/>
    <w:rsid w:val="00962FD8"/>
    <w:rsid w:val="0096308B"/>
    <w:rsid w:val="00964C60"/>
    <w:rsid w:val="009674A9"/>
    <w:rsid w:val="00971E43"/>
    <w:rsid w:val="00972325"/>
    <w:rsid w:val="0098048B"/>
    <w:rsid w:val="00984644"/>
    <w:rsid w:val="00987FCC"/>
    <w:rsid w:val="009906A1"/>
    <w:rsid w:val="009922EE"/>
    <w:rsid w:val="00995AE3"/>
    <w:rsid w:val="00996D20"/>
    <w:rsid w:val="00997692"/>
    <w:rsid w:val="00997CB2"/>
    <w:rsid w:val="00997CD1"/>
    <w:rsid w:val="009A7CE7"/>
    <w:rsid w:val="009B1D72"/>
    <w:rsid w:val="009B3B06"/>
    <w:rsid w:val="009B44A2"/>
    <w:rsid w:val="009B5134"/>
    <w:rsid w:val="009B6A10"/>
    <w:rsid w:val="009B7274"/>
    <w:rsid w:val="009D1479"/>
    <w:rsid w:val="009D48E2"/>
    <w:rsid w:val="009D4C16"/>
    <w:rsid w:val="009D5B74"/>
    <w:rsid w:val="009D5BBE"/>
    <w:rsid w:val="009D7739"/>
    <w:rsid w:val="009E5987"/>
    <w:rsid w:val="009E5A46"/>
    <w:rsid w:val="009F00A6"/>
    <w:rsid w:val="00A00265"/>
    <w:rsid w:val="00A0380C"/>
    <w:rsid w:val="00A054C9"/>
    <w:rsid w:val="00A06172"/>
    <w:rsid w:val="00A06518"/>
    <w:rsid w:val="00A065B1"/>
    <w:rsid w:val="00A0721D"/>
    <w:rsid w:val="00A13CF7"/>
    <w:rsid w:val="00A1637C"/>
    <w:rsid w:val="00A16BFA"/>
    <w:rsid w:val="00A201A1"/>
    <w:rsid w:val="00A205B0"/>
    <w:rsid w:val="00A24A38"/>
    <w:rsid w:val="00A2709F"/>
    <w:rsid w:val="00A27CC9"/>
    <w:rsid w:val="00A30377"/>
    <w:rsid w:val="00A35A07"/>
    <w:rsid w:val="00A36AD9"/>
    <w:rsid w:val="00A370EB"/>
    <w:rsid w:val="00A41D11"/>
    <w:rsid w:val="00A46BA1"/>
    <w:rsid w:val="00A46E29"/>
    <w:rsid w:val="00A500EE"/>
    <w:rsid w:val="00A54F29"/>
    <w:rsid w:val="00A55125"/>
    <w:rsid w:val="00A55BDA"/>
    <w:rsid w:val="00A561E5"/>
    <w:rsid w:val="00A5647F"/>
    <w:rsid w:val="00A60857"/>
    <w:rsid w:val="00A64962"/>
    <w:rsid w:val="00A65ADB"/>
    <w:rsid w:val="00A66688"/>
    <w:rsid w:val="00A76018"/>
    <w:rsid w:val="00A81438"/>
    <w:rsid w:val="00A85B58"/>
    <w:rsid w:val="00A85E90"/>
    <w:rsid w:val="00A91399"/>
    <w:rsid w:val="00A92D28"/>
    <w:rsid w:val="00A94658"/>
    <w:rsid w:val="00A968EB"/>
    <w:rsid w:val="00AA479E"/>
    <w:rsid w:val="00AA549E"/>
    <w:rsid w:val="00AA7D80"/>
    <w:rsid w:val="00AB1208"/>
    <w:rsid w:val="00AB2632"/>
    <w:rsid w:val="00AB3F53"/>
    <w:rsid w:val="00AB6FD6"/>
    <w:rsid w:val="00AC41BA"/>
    <w:rsid w:val="00AC5003"/>
    <w:rsid w:val="00AD4122"/>
    <w:rsid w:val="00AD7552"/>
    <w:rsid w:val="00AE0958"/>
    <w:rsid w:val="00AE36E2"/>
    <w:rsid w:val="00AE4805"/>
    <w:rsid w:val="00AE4BF7"/>
    <w:rsid w:val="00AE69C5"/>
    <w:rsid w:val="00AF5E04"/>
    <w:rsid w:val="00B008BC"/>
    <w:rsid w:val="00B07B6D"/>
    <w:rsid w:val="00B1265B"/>
    <w:rsid w:val="00B1700B"/>
    <w:rsid w:val="00B17C4E"/>
    <w:rsid w:val="00B22A44"/>
    <w:rsid w:val="00B249CF"/>
    <w:rsid w:val="00B24C4A"/>
    <w:rsid w:val="00B24EA3"/>
    <w:rsid w:val="00B32D21"/>
    <w:rsid w:val="00B34DCA"/>
    <w:rsid w:val="00B3552E"/>
    <w:rsid w:val="00B35863"/>
    <w:rsid w:val="00B35D17"/>
    <w:rsid w:val="00B3601C"/>
    <w:rsid w:val="00B42B54"/>
    <w:rsid w:val="00B46B47"/>
    <w:rsid w:val="00B500B5"/>
    <w:rsid w:val="00B56033"/>
    <w:rsid w:val="00B6186F"/>
    <w:rsid w:val="00B6244F"/>
    <w:rsid w:val="00B64EE6"/>
    <w:rsid w:val="00B65C80"/>
    <w:rsid w:val="00B713E4"/>
    <w:rsid w:val="00B74116"/>
    <w:rsid w:val="00B75ED8"/>
    <w:rsid w:val="00B803CC"/>
    <w:rsid w:val="00B82F0F"/>
    <w:rsid w:val="00B84B66"/>
    <w:rsid w:val="00B86AF6"/>
    <w:rsid w:val="00B86B33"/>
    <w:rsid w:val="00B903DD"/>
    <w:rsid w:val="00B90D8E"/>
    <w:rsid w:val="00B918F6"/>
    <w:rsid w:val="00B925EA"/>
    <w:rsid w:val="00B92602"/>
    <w:rsid w:val="00B935AE"/>
    <w:rsid w:val="00B940E8"/>
    <w:rsid w:val="00B979DA"/>
    <w:rsid w:val="00B97CEE"/>
    <w:rsid w:val="00BA0E9B"/>
    <w:rsid w:val="00BA291C"/>
    <w:rsid w:val="00BA3F87"/>
    <w:rsid w:val="00BB1C33"/>
    <w:rsid w:val="00BB39B6"/>
    <w:rsid w:val="00BB422C"/>
    <w:rsid w:val="00BB483D"/>
    <w:rsid w:val="00BC0D6D"/>
    <w:rsid w:val="00BC387B"/>
    <w:rsid w:val="00BC3E58"/>
    <w:rsid w:val="00BC7EFF"/>
    <w:rsid w:val="00BD2ACC"/>
    <w:rsid w:val="00BD64D6"/>
    <w:rsid w:val="00BE29F4"/>
    <w:rsid w:val="00BE6861"/>
    <w:rsid w:val="00BF059C"/>
    <w:rsid w:val="00BF1D0F"/>
    <w:rsid w:val="00BF3A0F"/>
    <w:rsid w:val="00BF401B"/>
    <w:rsid w:val="00BF41B2"/>
    <w:rsid w:val="00BF44D4"/>
    <w:rsid w:val="00BF79D9"/>
    <w:rsid w:val="00BF7B3C"/>
    <w:rsid w:val="00C01558"/>
    <w:rsid w:val="00C05161"/>
    <w:rsid w:val="00C06820"/>
    <w:rsid w:val="00C073F0"/>
    <w:rsid w:val="00C07C00"/>
    <w:rsid w:val="00C1425E"/>
    <w:rsid w:val="00C15CFF"/>
    <w:rsid w:val="00C1619D"/>
    <w:rsid w:val="00C213EE"/>
    <w:rsid w:val="00C22A13"/>
    <w:rsid w:val="00C23A13"/>
    <w:rsid w:val="00C2509C"/>
    <w:rsid w:val="00C32060"/>
    <w:rsid w:val="00C4372E"/>
    <w:rsid w:val="00C47508"/>
    <w:rsid w:val="00C51FA6"/>
    <w:rsid w:val="00C52267"/>
    <w:rsid w:val="00C52404"/>
    <w:rsid w:val="00C55579"/>
    <w:rsid w:val="00C57B44"/>
    <w:rsid w:val="00C57FAB"/>
    <w:rsid w:val="00C61179"/>
    <w:rsid w:val="00C622EE"/>
    <w:rsid w:val="00C63343"/>
    <w:rsid w:val="00C63C0F"/>
    <w:rsid w:val="00C656E7"/>
    <w:rsid w:val="00C65D50"/>
    <w:rsid w:val="00C703ED"/>
    <w:rsid w:val="00C710E3"/>
    <w:rsid w:val="00C75515"/>
    <w:rsid w:val="00C75AC9"/>
    <w:rsid w:val="00C75B6D"/>
    <w:rsid w:val="00C76221"/>
    <w:rsid w:val="00C77EC6"/>
    <w:rsid w:val="00C80EBE"/>
    <w:rsid w:val="00C841E0"/>
    <w:rsid w:val="00C917FD"/>
    <w:rsid w:val="00C96E41"/>
    <w:rsid w:val="00C96F47"/>
    <w:rsid w:val="00CA1849"/>
    <w:rsid w:val="00CA1F28"/>
    <w:rsid w:val="00CA2AE9"/>
    <w:rsid w:val="00CA46BA"/>
    <w:rsid w:val="00CA5027"/>
    <w:rsid w:val="00CB0771"/>
    <w:rsid w:val="00CB0C47"/>
    <w:rsid w:val="00CB116D"/>
    <w:rsid w:val="00CB19D5"/>
    <w:rsid w:val="00CB20F0"/>
    <w:rsid w:val="00CB54F7"/>
    <w:rsid w:val="00CB62D2"/>
    <w:rsid w:val="00CB7CC8"/>
    <w:rsid w:val="00CC064F"/>
    <w:rsid w:val="00CC414D"/>
    <w:rsid w:val="00CD0AD9"/>
    <w:rsid w:val="00CD2D55"/>
    <w:rsid w:val="00CD32A0"/>
    <w:rsid w:val="00CD3A9C"/>
    <w:rsid w:val="00CD3D28"/>
    <w:rsid w:val="00CD4328"/>
    <w:rsid w:val="00CD4598"/>
    <w:rsid w:val="00CD5432"/>
    <w:rsid w:val="00CE0E04"/>
    <w:rsid w:val="00CE20F0"/>
    <w:rsid w:val="00CE34D2"/>
    <w:rsid w:val="00CE3707"/>
    <w:rsid w:val="00CE5312"/>
    <w:rsid w:val="00CF378F"/>
    <w:rsid w:val="00CF58CC"/>
    <w:rsid w:val="00D01C0A"/>
    <w:rsid w:val="00D0547B"/>
    <w:rsid w:val="00D06993"/>
    <w:rsid w:val="00D06E2C"/>
    <w:rsid w:val="00D07525"/>
    <w:rsid w:val="00D10599"/>
    <w:rsid w:val="00D12667"/>
    <w:rsid w:val="00D144AB"/>
    <w:rsid w:val="00D14655"/>
    <w:rsid w:val="00D14C49"/>
    <w:rsid w:val="00D16D9B"/>
    <w:rsid w:val="00D176EC"/>
    <w:rsid w:val="00D17807"/>
    <w:rsid w:val="00D22B90"/>
    <w:rsid w:val="00D244C2"/>
    <w:rsid w:val="00D26407"/>
    <w:rsid w:val="00D32865"/>
    <w:rsid w:val="00D34454"/>
    <w:rsid w:val="00D3616A"/>
    <w:rsid w:val="00D367D8"/>
    <w:rsid w:val="00D413FA"/>
    <w:rsid w:val="00D42B3B"/>
    <w:rsid w:val="00D45FB4"/>
    <w:rsid w:val="00D50861"/>
    <w:rsid w:val="00D520AB"/>
    <w:rsid w:val="00D52912"/>
    <w:rsid w:val="00D55680"/>
    <w:rsid w:val="00D557D2"/>
    <w:rsid w:val="00D5603B"/>
    <w:rsid w:val="00D622C6"/>
    <w:rsid w:val="00D64C6C"/>
    <w:rsid w:val="00D7072F"/>
    <w:rsid w:val="00D718DA"/>
    <w:rsid w:val="00D72AF8"/>
    <w:rsid w:val="00D7594E"/>
    <w:rsid w:val="00D82BB2"/>
    <w:rsid w:val="00D8396D"/>
    <w:rsid w:val="00D865A3"/>
    <w:rsid w:val="00D87B9C"/>
    <w:rsid w:val="00D911E4"/>
    <w:rsid w:val="00D97791"/>
    <w:rsid w:val="00DA071A"/>
    <w:rsid w:val="00DA2899"/>
    <w:rsid w:val="00DB1CC7"/>
    <w:rsid w:val="00DB2B15"/>
    <w:rsid w:val="00DB3F3E"/>
    <w:rsid w:val="00DC2E60"/>
    <w:rsid w:val="00DC47B4"/>
    <w:rsid w:val="00DC59EA"/>
    <w:rsid w:val="00DC6102"/>
    <w:rsid w:val="00DC733B"/>
    <w:rsid w:val="00DE1E1C"/>
    <w:rsid w:val="00DE255F"/>
    <w:rsid w:val="00DF1EA7"/>
    <w:rsid w:val="00DF24E5"/>
    <w:rsid w:val="00DF2B00"/>
    <w:rsid w:val="00DF2E8C"/>
    <w:rsid w:val="00DF6EF1"/>
    <w:rsid w:val="00DF7EA5"/>
    <w:rsid w:val="00E0046C"/>
    <w:rsid w:val="00E050D6"/>
    <w:rsid w:val="00E06C12"/>
    <w:rsid w:val="00E168E5"/>
    <w:rsid w:val="00E20872"/>
    <w:rsid w:val="00E3005D"/>
    <w:rsid w:val="00E32DDE"/>
    <w:rsid w:val="00E34092"/>
    <w:rsid w:val="00E43A49"/>
    <w:rsid w:val="00E50BD3"/>
    <w:rsid w:val="00E50E32"/>
    <w:rsid w:val="00E55244"/>
    <w:rsid w:val="00E57815"/>
    <w:rsid w:val="00E6152F"/>
    <w:rsid w:val="00E615B7"/>
    <w:rsid w:val="00E616AE"/>
    <w:rsid w:val="00E65D1E"/>
    <w:rsid w:val="00E66F33"/>
    <w:rsid w:val="00E7202D"/>
    <w:rsid w:val="00E72346"/>
    <w:rsid w:val="00E73251"/>
    <w:rsid w:val="00E748A2"/>
    <w:rsid w:val="00E767C1"/>
    <w:rsid w:val="00E7751D"/>
    <w:rsid w:val="00E7797F"/>
    <w:rsid w:val="00E77F09"/>
    <w:rsid w:val="00E80723"/>
    <w:rsid w:val="00E918D6"/>
    <w:rsid w:val="00E92CE6"/>
    <w:rsid w:val="00E95EFB"/>
    <w:rsid w:val="00EA2F75"/>
    <w:rsid w:val="00EA5FBC"/>
    <w:rsid w:val="00EB348E"/>
    <w:rsid w:val="00EB382E"/>
    <w:rsid w:val="00EB3A0E"/>
    <w:rsid w:val="00EB3BCE"/>
    <w:rsid w:val="00EB3D0C"/>
    <w:rsid w:val="00EB3D99"/>
    <w:rsid w:val="00EB5471"/>
    <w:rsid w:val="00EB6E94"/>
    <w:rsid w:val="00EC22A9"/>
    <w:rsid w:val="00EC4A7F"/>
    <w:rsid w:val="00EC5B5A"/>
    <w:rsid w:val="00EC7F8F"/>
    <w:rsid w:val="00ED2586"/>
    <w:rsid w:val="00ED4658"/>
    <w:rsid w:val="00ED75C0"/>
    <w:rsid w:val="00EE38A8"/>
    <w:rsid w:val="00EE6460"/>
    <w:rsid w:val="00EE6A50"/>
    <w:rsid w:val="00EF03E4"/>
    <w:rsid w:val="00EF2333"/>
    <w:rsid w:val="00EF27BE"/>
    <w:rsid w:val="00EF3A4B"/>
    <w:rsid w:val="00EF74CC"/>
    <w:rsid w:val="00EF7B40"/>
    <w:rsid w:val="00F01444"/>
    <w:rsid w:val="00F0256C"/>
    <w:rsid w:val="00F0457D"/>
    <w:rsid w:val="00F046CD"/>
    <w:rsid w:val="00F05118"/>
    <w:rsid w:val="00F05BE1"/>
    <w:rsid w:val="00F10B8F"/>
    <w:rsid w:val="00F11FF4"/>
    <w:rsid w:val="00F148FA"/>
    <w:rsid w:val="00F14F3C"/>
    <w:rsid w:val="00F2216F"/>
    <w:rsid w:val="00F22C5B"/>
    <w:rsid w:val="00F237BA"/>
    <w:rsid w:val="00F26218"/>
    <w:rsid w:val="00F268DE"/>
    <w:rsid w:val="00F31578"/>
    <w:rsid w:val="00F31AD7"/>
    <w:rsid w:val="00F32B66"/>
    <w:rsid w:val="00F3328C"/>
    <w:rsid w:val="00F37EE6"/>
    <w:rsid w:val="00F429F7"/>
    <w:rsid w:val="00F44547"/>
    <w:rsid w:val="00F4787F"/>
    <w:rsid w:val="00F5075E"/>
    <w:rsid w:val="00F55CCE"/>
    <w:rsid w:val="00F564C0"/>
    <w:rsid w:val="00F566AB"/>
    <w:rsid w:val="00F5706A"/>
    <w:rsid w:val="00F600CC"/>
    <w:rsid w:val="00F60667"/>
    <w:rsid w:val="00F6117E"/>
    <w:rsid w:val="00F63241"/>
    <w:rsid w:val="00F6339E"/>
    <w:rsid w:val="00F64318"/>
    <w:rsid w:val="00F64F33"/>
    <w:rsid w:val="00F65400"/>
    <w:rsid w:val="00F7239B"/>
    <w:rsid w:val="00F7567E"/>
    <w:rsid w:val="00F75A5D"/>
    <w:rsid w:val="00F765FD"/>
    <w:rsid w:val="00F80478"/>
    <w:rsid w:val="00F808DE"/>
    <w:rsid w:val="00F83753"/>
    <w:rsid w:val="00F85978"/>
    <w:rsid w:val="00F862BE"/>
    <w:rsid w:val="00F86BAE"/>
    <w:rsid w:val="00F871D6"/>
    <w:rsid w:val="00F910EB"/>
    <w:rsid w:val="00F9418F"/>
    <w:rsid w:val="00F953E6"/>
    <w:rsid w:val="00FA00E9"/>
    <w:rsid w:val="00FA4853"/>
    <w:rsid w:val="00FA4FE9"/>
    <w:rsid w:val="00FB3E60"/>
    <w:rsid w:val="00FB6094"/>
    <w:rsid w:val="00FB732D"/>
    <w:rsid w:val="00FC1517"/>
    <w:rsid w:val="00FC2E9E"/>
    <w:rsid w:val="00FC3DEC"/>
    <w:rsid w:val="00FC5C5F"/>
    <w:rsid w:val="00FC7AD0"/>
    <w:rsid w:val="00FD007C"/>
    <w:rsid w:val="00FD0AC9"/>
    <w:rsid w:val="00FD1FEE"/>
    <w:rsid w:val="00FE328F"/>
    <w:rsid w:val="00FE3E36"/>
    <w:rsid w:val="00FE43C9"/>
    <w:rsid w:val="00FF0940"/>
    <w:rsid w:val="00FF11FC"/>
    <w:rsid w:val="00FF1E80"/>
    <w:rsid w:val="00FF23FE"/>
    <w:rsid w:val="00FF25E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92FD8C"/>
  <w15:chartTrackingRefBased/>
  <w15:docId w15:val="{E5F720B9-0CE3-4631-9025-B5F8F32CF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24EA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24EA3"/>
  </w:style>
  <w:style w:type="paragraph" w:styleId="Piedepgina">
    <w:name w:val="footer"/>
    <w:basedOn w:val="Normal"/>
    <w:link w:val="PiedepginaCar"/>
    <w:uiPriority w:val="99"/>
    <w:unhideWhenUsed/>
    <w:rsid w:val="00B24EA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24EA3"/>
  </w:style>
  <w:style w:type="paragraph" w:styleId="Prrafodelista">
    <w:name w:val="List Paragraph"/>
    <w:basedOn w:val="Normal"/>
    <w:uiPriority w:val="34"/>
    <w:qFormat/>
    <w:rsid w:val="007E7D70"/>
    <w:pPr>
      <w:ind w:left="720"/>
      <w:contextualSpacing/>
    </w:pPr>
  </w:style>
  <w:style w:type="character" w:styleId="Hipervnculo">
    <w:name w:val="Hyperlink"/>
    <w:basedOn w:val="Fuentedeprrafopredeter"/>
    <w:uiPriority w:val="99"/>
    <w:unhideWhenUsed/>
    <w:rsid w:val="001131E5"/>
    <w:rPr>
      <w:color w:val="0000FF" w:themeColor="hyperlink"/>
      <w:u w:val="single"/>
    </w:rPr>
  </w:style>
  <w:style w:type="character" w:styleId="Mencinsinresolver">
    <w:name w:val="Unresolved Mention"/>
    <w:basedOn w:val="Fuentedeprrafopredeter"/>
    <w:uiPriority w:val="99"/>
    <w:semiHidden/>
    <w:unhideWhenUsed/>
    <w:rsid w:val="001131E5"/>
    <w:rPr>
      <w:color w:val="605E5C"/>
      <w:shd w:val="clear" w:color="auto" w:fill="E1DFDD"/>
    </w:rPr>
  </w:style>
  <w:style w:type="paragraph" w:styleId="NormalWeb">
    <w:name w:val="Normal (Web)"/>
    <w:basedOn w:val="Normal"/>
    <w:uiPriority w:val="99"/>
    <w:semiHidden/>
    <w:unhideWhenUsed/>
    <w:rsid w:val="00CA502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683102">
      <w:bodyDiv w:val="1"/>
      <w:marLeft w:val="0"/>
      <w:marRight w:val="0"/>
      <w:marTop w:val="0"/>
      <w:marBottom w:val="0"/>
      <w:divBdr>
        <w:top w:val="none" w:sz="0" w:space="0" w:color="auto"/>
        <w:left w:val="none" w:sz="0" w:space="0" w:color="auto"/>
        <w:bottom w:val="none" w:sz="0" w:space="0" w:color="auto"/>
        <w:right w:val="none" w:sz="0" w:space="0" w:color="auto"/>
      </w:divBdr>
    </w:div>
    <w:div w:id="278688283">
      <w:bodyDiv w:val="1"/>
      <w:marLeft w:val="0"/>
      <w:marRight w:val="0"/>
      <w:marTop w:val="0"/>
      <w:marBottom w:val="0"/>
      <w:divBdr>
        <w:top w:val="none" w:sz="0" w:space="0" w:color="auto"/>
        <w:left w:val="none" w:sz="0" w:space="0" w:color="auto"/>
        <w:bottom w:val="none" w:sz="0" w:space="0" w:color="auto"/>
        <w:right w:val="none" w:sz="0" w:space="0" w:color="auto"/>
      </w:divBdr>
    </w:div>
    <w:div w:id="373887522">
      <w:bodyDiv w:val="1"/>
      <w:marLeft w:val="0"/>
      <w:marRight w:val="0"/>
      <w:marTop w:val="0"/>
      <w:marBottom w:val="0"/>
      <w:divBdr>
        <w:top w:val="none" w:sz="0" w:space="0" w:color="auto"/>
        <w:left w:val="none" w:sz="0" w:space="0" w:color="auto"/>
        <w:bottom w:val="none" w:sz="0" w:space="0" w:color="auto"/>
        <w:right w:val="none" w:sz="0" w:space="0" w:color="auto"/>
      </w:divBdr>
    </w:div>
    <w:div w:id="413212219">
      <w:bodyDiv w:val="1"/>
      <w:marLeft w:val="0"/>
      <w:marRight w:val="0"/>
      <w:marTop w:val="0"/>
      <w:marBottom w:val="0"/>
      <w:divBdr>
        <w:top w:val="none" w:sz="0" w:space="0" w:color="auto"/>
        <w:left w:val="none" w:sz="0" w:space="0" w:color="auto"/>
        <w:bottom w:val="none" w:sz="0" w:space="0" w:color="auto"/>
        <w:right w:val="none" w:sz="0" w:space="0" w:color="auto"/>
      </w:divBdr>
    </w:div>
    <w:div w:id="587614053">
      <w:bodyDiv w:val="1"/>
      <w:marLeft w:val="0"/>
      <w:marRight w:val="0"/>
      <w:marTop w:val="0"/>
      <w:marBottom w:val="0"/>
      <w:divBdr>
        <w:top w:val="none" w:sz="0" w:space="0" w:color="auto"/>
        <w:left w:val="none" w:sz="0" w:space="0" w:color="auto"/>
        <w:bottom w:val="none" w:sz="0" w:space="0" w:color="auto"/>
        <w:right w:val="none" w:sz="0" w:space="0" w:color="auto"/>
      </w:divBdr>
    </w:div>
    <w:div w:id="638847816">
      <w:bodyDiv w:val="1"/>
      <w:marLeft w:val="0"/>
      <w:marRight w:val="0"/>
      <w:marTop w:val="0"/>
      <w:marBottom w:val="0"/>
      <w:divBdr>
        <w:top w:val="none" w:sz="0" w:space="0" w:color="auto"/>
        <w:left w:val="none" w:sz="0" w:space="0" w:color="auto"/>
        <w:bottom w:val="none" w:sz="0" w:space="0" w:color="auto"/>
        <w:right w:val="none" w:sz="0" w:space="0" w:color="auto"/>
      </w:divBdr>
    </w:div>
    <w:div w:id="723722970">
      <w:bodyDiv w:val="1"/>
      <w:marLeft w:val="0"/>
      <w:marRight w:val="0"/>
      <w:marTop w:val="0"/>
      <w:marBottom w:val="0"/>
      <w:divBdr>
        <w:top w:val="none" w:sz="0" w:space="0" w:color="auto"/>
        <w:left w:val="none" w:sz="0" w:space="0" w:color="auto"/>
        <w:bottom w:val="none" w:sz="0" w:space="0" w:color="auto"/>
        <w:right w:val="none" w:sz="0" w:space="0" w:color="auto"/>
      </w:divBdr>
    </w:div>
    <w:div w:id="836967126">
      <w:bodyDiv w:val="1"/>
      <w:marLeft w:val="0"/>
      <w:marRight w:val="0"/>
      <w:marTop w:val="0"/>
      <w:marBottom w:val="0"/>
      <w:divBdr>
        <w:top w:val="none" w:sz="0" w:space="0" w:color="auto"/>
        <w:left w:val="none" w:sz="0" w:space="0" w:color="auto"/>
        <w:bottom w:val="none" w:sz="0" w:space="0" w:color="auto"/>
        <w:right w:val="none" w:sz="0" w:space="0" w:color="auto"/>
      </w:divBdr>
    </w:div>
    <w:div w:id="985204581">
      <w:bodyDiv w:val="1"/>
      <w:marLeft w:val="0"/>
      <w:marRight w:val="0"/>
      <w:marTop w:val="0"/>
      <w:marBottom w:val="0"/>
      <w:divBdr>
        <w:top w:val="none" w:sz="0" w:space="0" w:color="auto"/>
        <w:left w:val="none" w:sz="0" w:space="0" w:color="auto"/>
        <w:bottom w:val="none" w:sz="0" w:space="0" w:color="auto"/>
        <w:right w:val="none" w:sz="0" w:space="0" w:color="auto"/>
      </w:divBdr>
    </w:div>
    <w:div w:id="1062678508">
      <w:bodyDiv w:val="1"/>
      <w:marLeft w:val="0"/>
      <w:marRight w:val="0"/>
      <w:marTop w:val="0"/>
      <w:marBottom w:val="0"/>
      <w:divBdr>
        <w:top w:val="none" w:sz="0" w:space="0" w:color="auto"/>
        <w:left w:val="none" w:sz="0" w:space="0" w:color="auto"/>
        <w:bottom w:val="none" w:sz="0" w:space="0" w:color="auto"/>
        <w:right w:val="none" w:sz="0" w:space="0" w:color="auto"/>
      </w:divBdr>
    </w:div>
    <w:div w:id="1239943870">
      <w:bodyDiv w:val="1"/>
      <w:marLeft w:val="0"/>
      <w:marRight w:val="0"/>
      <w:marTop w:val="0"/>
      <w:marBottom w:val="0"/>
      <w:divBdr>
        <w:top w:val="none" w:sz="0" w:space="0" w:color="auto"/>
        <w:left w:val="none" w:sz="0" w:space="0" w:color="auto"/>
        <w:bottom w:val="none" w:sz="0" w:space="0" w:color="auto"/>
        <w:right w:val="none" w:sz="0" w:space="0" w:color="auto"/>
      </w:divBdr>
    </w:div>
    <w:div w:id="1388534225">
      <w:bodyDiv w:val="1"/>
      <w:marLeft w:val="0"/>
      <w:marRight w:val="0"/>
      <w:marTop w:val="0"/>
      <w:marBottom w:val="0"/>
      <w:divBdr>
        <w:top w:val="none" w:sz="0" w:space="0" w:color="auto"/>
        <w:left w:val="none" w:sz="0" w:space="0" w:color="auto"/>
        <w:bottom w:val="none" w:sz="0" w:space="0" w:color="auto"/>
        <w:right w:val="none" w:sz="0" w:space="0" w:color="auto"/>
      </w:divBdr>
    </w:div>
    <w:div w:id="1490172636">
      <w:bodyDiv w:val="1"/>
      <w:marLeft w:val="0"/>
      <w:marRight w:val="0"/>
      <w:marTop w:val="0"/>
      <w:marBottom w:val="0"/>
      <w:divBdr>
        <w:top w:val="none" w:sz="0" w:space="0" w:color="auto"/>
        <w:left w:val="none" w:sz="0" w:space="0" w:color="auto"/>
        <w:bottom w:val="none" w:sz="0" w:space="0" w:color="auto"/>
        <w:right w:val="none" w:sz="0" w:space="0" w:color="auto"/>
      </w:divBdr>
    </w:div>
    <w:div w:id="1605183930">
      <w:bodyDiv w:val="1"/>
      <w:marLeft w:val="0"/>
      <w:marRight w:val="0"/>
      <w:marTop w:val="0"/>
      <w:marBottom w:val="0"/>
      <w:divBdr>
        <w:top w:val="none" w:sz="0" w:space="0" w:color="auto"/>
        <w:left w:val="none" w:sz="0" w:space="0" w:color="auto"/>
        <w:bottom w:val="none" w:sz="0" w:space="0" w:color="auto"/>
        <w:right w:val="none" w:sz="0" w:space="0" w:color="auto"/>
      </w:divBdr>
    </w:div>
    <w:div w:id="1769931550">
      <w:bodyDiv w:val="1"/>
      <w:marLeft w:val="0"/>
      <w:marRight w:val="0"/>
      <w:marTop w:val="0"/>
      <w:marBottom w:val="0"/>
      <w:divBdr>
        <w:top w:val="none" w:sz="0" w:space="0" w:color="auto"/>
        <w:left w:val="none" w:sz="0" w:space="0" w:color="auto"/>
        <w:bottom w:val="none" w:sz="0" w:space="0" w:color="auto"/>
        <w:right w:val="none" w:sz="0" w:space="0" w:color="auto"/>
      </w:divBdr>
    </w:div>
    <w:div w:id="1789885112">
      <w:bodyDiv w:val="1"/>
      <w:marLeft w:val="0"/>
      <w:marRight w:val="0"/>
      <w:marTop w:val="0"/>
      <w:marBottom w:val="0"/>
      <w:divBdr>
        <w:top w:val="none" w:sz="0" w:space="0" w:color="auto"/>
        <w:left w:val="none" w:sz="0" w:space="0" w:color="auto"/>
        <w:bottom w:val="none" w:sz="0" w:space="0" w:color="auto"/>
        <w:right w:val="none" w:sz="0" w:space="0" w:color="auto"/>
      </w:divBdr>
    </w:div>
    <w:div w:id="1818372363">
      <w:bodyDiv w:val="1"/>
      <w:marLeft w:val="0"/>
      <w:marRight w:val="0"/>
      <w:marTop w:val="0"/>
      <w:marBottom w:val="0"/>
      <w:divBdr>
        <w:top w:val="none" w:sz="0" w:space="0" w:color="auto"/>
        <w:left w:val="none" w:sz="0" w:space="0" w:color="auto"/>
        <w:bottom w:val="none" w:sz="0" w:space="0" w:color="auto"/>
        <w:right w:val="none" w:sz="0" w:space="0" w:color="auto"/>
      </w:divBdr>
    </w:div>
    <w:div w:id="1908759345">
      <w:bodyDiv w:val="1"/>
      <w:marLeft w:val="0"/>
      <w:marRight w:val="0"/>
      <w:marTop w:val="0"/>
      <w:marBottom w:val="0"/>
      <w:divBdr>
        <w:top w:val="none" w:sz="0" w:space="0" w:color="auto"/>
        <w:left w:val="none" w:sz="0" w:space="0" w:color="auto"/>
        <w:bottom w:val="none" w:sz="0" w:space="0" w:color="auto"/>
        <w:right w:val="none" w:sz="0" w:space="0" w:color="auto"/>
      </w:divBdr>
    </w:div>
    <w:div w:id="1915125343">
      <w:bodyDiv w:val="1"/>
      <w:marLeft w:val="0"/>
      <w:marRight w:val="0"/>
      <w:marTop w:val="0"/>
      <w:marBottom w:val="0"/>
      <w:divBdr>
        <w:top w:val="none" w:sz="0" w:space="0" w:color="auto"/>
        <w:left w:val="none" w:sz="0" w:space="0" w:color="auto"/>
        <w:bottom w:val="none" w:sz="0" w:space="0" w:color="auto"/>
        <w:right w:val="none" w:sz="0" w:space="0" w:color="auto"/>
      </w:divBdr>
    </w:div>
    <w:div w:id="1916747301">
      <w:bodyDiv w:val="1"/>
      <w:marLeft w:val="0"/>
      <w:marRight w:val="0"/>
      <w:marTop w:val="0"/>
      <w:marBottom w:val="0"/>
      <w:divBdr>
        <w:top w:val="none" w:sz="0" w:space="0" w:color="auto"/>
        <w:left w:val="none" w:sz="0" w:space="0" w:color="auto"/>
        <w:bottom w:val="none" w:sz="0" w:space="0" w:color="auto"/>
        <w:right w:val="none" w:sz="0" w:space="0" w:color="auto"/>
      </w:divBdr>
    </w:div>
    <w:div w:id="2043166597">
      <w:bodyDiv w:val="1"/>
      <w:marLeft w:val="0"/>
      <w:marRight w:val="0"/>
      <w:marTop w:val="0"/>
      <w:marBottom w:val="0"/>
      <w:divBdr>
        <w:top w:val="none" w:sz="0" w:space="0" w:color="auto"/>
        <w:left w:val="none" w:sz="0" w:space="0" w:color="auto"/>
        <w:bottom w:val="none" w:sz="0" w:space="0" w:color="auto"/>
        <w:right w:val="none" w:sz="0" w:space="0" w:color="auto"/>
      </w:divBdr>
    </w:div>
    <w:div w:id="2080470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andara">
      <a:majorFont>
        <a:latin typeface="Candara" panose="020E0502030303020204"/>
        <a:ea typeface=""/>
        <a:cs typeface=""/>
        <a:font script="Jpan" typeface="HGｺﾞｼｯｸM"/>
        <a:font script="Hang" typeface="HY엽서L"/>
        <a:font script="Hans" typeface="华文楷体"/>
        <a:font script="Hant" typeface="新細明體"/>
        <a:font script="Arab" typeface="Tahoma"/>
        <a:font script="Hebr" typeface="Miriam"/>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Candara" panose="020E0502030303020204"/>
        <a:ea typeface=""/>
        <a:cs typeface=""/>
        <a:font script="Jpan" typeface="HGｺﾞｼｯｸM"/>
        <a:font script="Hang" typeface="HY엽서L"/>
        <a:font script="Hans" typeface="华文楷体"/>
        <a:font script="Hant" typeface="新細明體"/>
        <a:font script="Arab" typeface="Tahoma"/>
        <a:font script="Hebr" typeface="Miriam"/>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A0BA9-47AD-4F93-B7DE-84AF56CE2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893</Words>
  <Characters>4912</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Guillermo Caballero Moral</dc:creator>
  <cp:keywords/>
  <dc:description/>
  <cp:lastModifiedBy>Sonia Mendez Masero</cp:lastModifiedBy>
  <cp:revision>2</cp:revision>
  <cp:lastPrinted>2025-08-12T08:28:00Z</cp:lastPrinted>
  <dcterms:created xsi:type="dcterms:W3CDTF">2026-01-09T10:40:00Z</dcterms:created>
  <dcterms:modified xsi:type="dcterms:W3CDTF">2026-01-09T10:40:00Z</dcterms:modified>
</cp:coreProperties>
</file>