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ECC" w:rsidRPr="001D3810" w:rsidRDefault="00925321" w:rsidP="00AC5ECC">
      <w:pPr>
        <w:jc w:val="center"/>
        <w:rPr>
          <w:b/>
          <w:color w:val="4F6228" w:themeColor="accent3" w:themeShade="80"/>
          <w:sz w:val="56"/>
          <w:szCs w:val="56"/>
        </w:rPr>
      </w:pPr>
      <w:r w:rsidRPr="001D3810">
        <w:rPr>
          <w:b/>
          <w:color w:val="4F6228" w:themeColor="accent3" w:themeShade="80"/>
          <w:sz w:val="56"/>
          <w:szCs w:val="56"/>
        </w:rPr>
        <w:t xml:space="preserve">SITUACIÓN DEL EMPLEO EN </w:t>
      </w:r>
      <w:r w:rsidR="000F2937" w:rsidRPr="001D3810">
        <w:rPr>
          <w:b/>
          <w:color w:val="4F6228" w:themeColor="accent3" w:themeShade="80"/>
          <w:sz w:val="56"/>
          <w:szCs w:val="56"/>
        </w:rPr>
        <w:t>ANDALUCÍA</w:t>
      </w:r>
    </w:p>
    <w:p w:rsidR="003E4301" w:rsidRPr="001D3810" w:rsidRDefault="00D04E7F" w:rsidP="00925321">
      <w:pPr>
        <w:jc w:val="center"/>
        <w:rPr>
          <w:b/>
          <w:color w:val="4F6228" w:themeColor="accent3" w:themeShade="80"/>
          <w:sz w:val="36"/>
          <w:szCs w:val="36"/>
        </w:rPr>
      </w:pPr>
      <w:r w:rsidRPr="001D3810">
        <w:rPr>
          <w:b/>
          <w:color w:val="4F6228" w:themeColor="accent3" w:themeShade="80"/>
          <w:sz w:val="36"/>
          <w:szCs w:val="36"/>
        </w:rPr>
        <w:t>2º Semestre 2017 – Enero 2018</w:t>
      </w:r>
    </w:p>
    <w:p w:rsidR="005154B9" w:rsidRPr="001D3810" w:rsidRDefault="005154B9" w:rsidP="00A73179">
      <w:pPr>
        <w:pBdr>
          <w:top w:val="single" w:sz="4" w:space="1" w:color="auto"/>
        </w:pBdr>
        <w:jc w:val="center"/>
        <w:rPr>
          <w:b/>
          <w:color w:val="4F6228" w:themeColor="accent3" w:themeShade="80"/>
          <w:sz w:val="24"/>
          <w:szCs w:val="24"/>
        </w:rPr>
      </w:pPr>
    </w:p>
    <w:p w:rsidR="00396B9E" w:rsidRPr="001D3810" w:rsidRDefault="00791F18" w:rsidP="00A73179">
      <w:pPr>
        <w:pBdr>
          <w:top w:val="single" w:sz="4" w:space="1" w:color="auto"/>
        </w:pBdr>
        <w:jc w:val="center"/>
        <w:rPr>
          <w:b/>
          <w:color w:val="4F6228" w:themeColor="accent3" w:themeShade="80"/>
          <w:sz w:val="40"/>
          <w:szCs w:val="36"/>
        </w:rPr>
      </w:pPr>
      <w:r w:rsidRPr="001D3810">
        <w:rPr>
          <w:b/>
          <w:color w:val="4F6228" w:themeColor="accent3" w:themeShade="80"/>
          <w:sz w:val="40"/>
          <w:szCs w:val="36"/>
        </w:rPr>
        <w:t xml:space="preserve">Definición del </w:t>
      </w:r>
      <w:r w:rsidR="005154B9" w:rsidRPr="001D3810">
        <w:rPr>
          <w:b/>
          <w:color w:val="4F6228" w:themeColor="accent3" w:themeShade="80"/>
          <w:sz w:val="40"/>
          <w:szCs w:val="36"/>
        </w:rPr>
        <w:t>E</w:t>
      </w:r>
      <w:r w:rsidR="00D04E7F" w:rsidRPr="001D3810">
        <w:rPr>
          <w:b/>
          <w:color w:val="4F6228" w:themeColor="accent3" w:themeShade="80"/>
          <w:sz w:val="40"/>
          <w:szCs w:val="36"/>
        </w:rPr>
        <w:t>mpleo</w:t>
      </w:r>
      <w:r w:rsidR="000F2937" w:rsidRPr="001D3810">
        <w:rPr>
          <w:b/>
          <w:color w:val="4F6228" w:themeColor="accent3" w:themeShade="80"/>
          <w:sz w:val="40"/>
          <w:szCs w:val="36"/>
        </w:rPr>
        <w:t xml:space="preserve"> </w:t>
      </w:r>
      <w:r w:rsidR="008E511B" w:rsidRPr="001D3810">
        <w:rPr>
          <w:b/>
          <w:color w:val="4F6228" w:themeColor="accent3" w:themeShade="80"/>
          <w:sz w:val="40"/>
          <w:szCs w:val="36"/>
        </w:rPr>
        <w:t xml:space="preserve">en </w:t>
      </w:r>
      <w:r w:rsidR="000F2937" w:rsidRPr="001D3810">
        <w:rPr>
          <w:b/>
          <w:color w:val="4F6228" w:themeColor="accent3" w:themeShade="80"/>
          <w:sz w:val="40"/>
          <w:szCs w:val="36"/>
        </w:rPr>
        <w:t>Andalucía</w:t>
      </w:r>
      <w:r w:rsidRPr="001D3810">
        <w:rPr>
          <w:b/>
          <w:color w:val="4F6228" w:themeColor="accent3" w:themeShade="80"/>
          <w:sz w:val="40"/>
          <w:szCs w:val="36"/>
        </w:rPr>
        <w:t>:</w:t>
      </w:r>
    </w:p>
    <w:p w:rsidR="001801CA" w:rsidRPr="001D3810" w:rsidRDefault="00C54DA9" w:rsidP="00925583">
      <w:pPr>
        <w:spacing w:after="0" w:line="1200" w:lineRule="exact"/>
        <w:ind w:left="567" w:hanging="567"/>
        <w:jc w:val="both"/>
        <w:rPr>
          <w:b/>
          <w:color w:val="4F6228" w:themeColor="accent3" w:themeShade="80"/>
          <w:sz w:val="72"/>
          <w:szCs w:val="60"/>
        </w:rPr>
      </w:pPr>
      <w:r w:rsidRPr="001D3810">
        <w:rPr>
          <w:b/>
          <w:color w:val="4F6228" w:themeColor="accent3" w:themeShade="80"/>
          <w:sz w:val="144"/>
          <w:szCs w:val="60"/>
        </w:rPr>
        <w:t>P</w:t>
      </w:r>
      <w:r w:rsidRPr="001D3810">
        <w:rPr>
          <w:b/>
          <w:color w:val="4F6228" w:themeColor="accent3" w:themeShade="80"/>
          <w:sz w:val="56"/>
          <w:szCs w:val="60"/>
        </w:rPr>
        <w:t>RECARIEDAD</w:t>
      </w:r>
      <w:r w:rsidR="00994107" w:rsidRPr="001D3810">
        <w:rPr>
          <w:b/>
          <w:color w:val="4F6228" w:themeColor="accent3" w:themeShade="80"/>
          <w:sz w:val="56"/>
          <w:szCs w:val="60"/>
        </w:rPr>
        <w:t xml:space="preserve"> </w:t>
      </w:r>
      <w:r w:rsidR="00F535AF" w:rsidRPr="001D3810">
        <w:rPr>
          <w:b/>
          <w:color w:val="4F6228" w:themeColor="accent3" w:themeShade="80"/>
          <w:sz w:val="56"/>
          <w:szCs w:val="60"/>
        </w:rPr>
        <w:t>LABORAL</w:t>
      </w:r>
    </w:p>
    <w:p w:rsidR="00AC5ECC" w:rsidRPr="001D3810" w:rsidRDefault="001801CA" w:rsidP="00925583">
      <w:pPr>
        <w:spacing w:after="0" w:line="1200" w:lineRule="exact"/>
        <w:ind w:left="567" w:firstLine="142"/>
        <w:jc w:val="both"/>
        <w:rPr>
          <w:b/>
          <w:color w:val="4F6228" w:themeColor="accent3" w:themeShade="80"/>
          <w:sz w:val="72"/>
          <w:szCs w:val="60"/>
        </w:rPr>
      </w:pPr>
      <w:r w:rsidRPr="001D3810">
        <w:rPr>
          <w:b/>
          <w:color w:val="4F6228" w:themeColor="accent3" w:themeShade="80"/>
          <w:sz w:val="144"/>
          <w:szCs w:val="60"/>
        </w:rPr>
        <w:t>P</w:t>
      </w:r>
      <w:r w:rsidRPr="001D3810">
        <w:rPr>
          <w:b/>
          <w:color w:val="4F6228" w:themeColor="accent3" w:themeShade="80"/>
          <w:sz w:val="56"/>
          <w:szCs w:val="60"/>
        </w:rPr>
        <w:t>ARO</w:t>
      </w:r>
      <w:r w:rsidR="00994107" w:rsidRPr="001D3810">
        <w:rPr>
          <w:b/>
          <w:color w:val="4F6228" w:themeColor="accent3" w:themeShade="80"/>
          <w:sz w:val="56"/>
          <w:szCs w:val="60"/>
        </w:rPr>
        <w:t xml:space="preserve"> </w:t>
      </w:r>
      <w:r w:rsidRPr="001D3810">
        <w:rPr>
          <w:b/>
          <w:color w:val="4F6228" w:themeColor="accent3" w:themeShade="80"/>
          <w:sz w:val="56"/>
          <w:szCs w:val="60"/>
        </w:rPr>
        <w:t>ESTRUCTURAL</w:t>
      </w:r>
    </w:p>
    <w:p w:rsidR="001801CA" w:rsidRPr="001D3810" w:rsidRDefault="001801CA" w:rsidP="00925583">
      <w:pPr>
        <w:spacing w:after="0" w:line="1200" w:lineRule="exact"/>
        <w:ind w:left="1275" w:firstLine="143"/>
        <w:jc w:val="both"/>
        <w:rPr>
          <w:b/>
          <w:color w:val="4F6228" w:themeColor="accent3" w:themeShade="80"/>
          <w:sz w:val="72"/>
          <w:szCs w:val="60"/>
        </w:rPr>
      </w:pPr>
      <w:r w:rsidRPr="001D3810">
        <w:rPr>
          <w:b/>
          <w:color w:val="4F6228" w:themeColor="accent3" w:themeShade="80"/>
          <w:sz w:val="144"/>
          <w:szCs w:val="60"/>
        </w:rPr>
        <w:t>P</w:t>
      </w:r>
      <w:r w:rsidRPr="001D3810">
        <w:rPr>
          <w:b/>
          <w:color w:val="4F6228" w:themeColor="accent3" w:themeShade="80"/>
          <w:sz w:val="56"/>
          <w:szCs w:val="60"/>
        </w:rPr>
        <w:t>ÉRDIDA</w:t>
      </w:r>
      <w:r w:rsidR="00994107" w:rsidRPr="001D3810">
        <w:rPr>
          <w:b/>
          <w:color w:val="4F6228" w:themeColor="accent3" w:themeShade="80"/>
          <w:sz w:val="56"/>
          <w:szCs w:val="60"/>
        </w:rPr>
        <w:t xml:space="preserve"> </w:t>
      </w:r>
      <w:r w:rsidRPr="001D3810">
        <w:rPr>
          <w:b/>
          <w:color w:val="4F6228" w:themeColor="accent3" w:themeShade="80"/>
          <w:sz w:val="56"/>
          <w:szCs w:val="60"/>
        </w:rPr>
        <w:t>SALARIAL</w:t>
      </w:r>
    </w:p>
    <w:p w:rsidR="001801CA" w:rsidRPr="001D3810" w:rsidRDefault="001801CA" w:rsidP="00925583">
      <w:pPr>
        <w:spacing w:after="0" w:line="1200" w:lineRule="exact"/>
        <w:ind w:left="1983" w:right="-852" w:firstLine="144"/>
        <w:jc w:val="both"/>
        <w:rPr>
          <w:b/>
          <w:color w:val="4F6228" w:themeColor="accent3" w:themeShade="80"/>
          <w:sz w:val="72"/>
          <w:szCs w:val="60"/>
        </w:rPr>
      </w:pPr>
      <w:r w:rsidRPr="001D3810">
        <w:rPr>
          <w:b/>
          <w:color w:val="4F6228" w:themeColor="accent3" w:themeShade="80"/>
          <w:sz w:val="144"/>
          <w:szCs w:val="60"/>
        </w:rPr>
        <w:t>P</w:t>
      </w:r>
      <w:r w:rsidRPr="001D3810">
        <w:rPr>
          <w:b/>
          <w:color w:val="4F6228" w:themeColor="accent3" w:themeShade="80"/>
          <w:sz w:val="56"/>
          <w:szCs w:val="60"/>
        </w:rPr>
        <w:t>OBREZA Y DESIGUALDAD</w:t>
      </w:r>
    </w:p>
    <w:p w:rsidR="002539C1" w:rsidRPr="001D3810" w:rsidRDefault="002539C1" w:rsidP="00A73179">
      <w:pPr>
        <w:pBdr>
          <w:bottom w:val="single" w:sz="4" w:space="1" w:color="auto"/>
        </w:pBdr>
        <w:jc w:val="center"/>
        <w:rPr>
          <w:b/>
          <w:color w:val="4F6228" w:themeColor="accent3" w:themeShade="80"/>
          <w:sz w:val="36"/>
          <w:szCs w:val="36"/>
        </w:rPr>
      </w:pPr>
    </w:p>
    <w:p w:rsidR="00C54DA9" w:rsidRPr="001D3810" w:rsidRDefault="00373CF9" w:rsidP="00A73179">
      <w:pPr>
        <w:pBdr>
          <w:bottom w:val="single" w:sz="4" w:space="1" w:color="auto"/>
        </w:pBdr>
        <w:jc w:val="center"/>
        <w:rPr>
          <w:b/>
          <w:color w:val="4F6228" w:themeColor="accent3" w:themeShade="80"/>
          <w:sz w:val="36"/>
          <w:szCs w:val="36"/>
        </w:rPr>
      </w:pPr>
      <w:r w:rsidRPr="001D3810">
        <w:rPr>
          <w:b/>
          <w:color w:val="4F6228" w:themeColor="accent3" w:themeShade="80"/>
          <w:sz w:val="36"/>
          <w:szCs w:val="36"/>
        </w:rPr>
        <w:t>Urge</w:t>
      </w:r>
      <w:r w:rsidR="00C54DA9" w:rsidRPr="001D3810">
        <w:rPr>
          <w:b/>
          <w:color w:val="4F6228" w:themeColor="accent3" w:themeShade="80"/>
          <w:sz w:val="36"/>
          <w:szCs w:val="36"/>
        </w:rPr>
        <w:t xml:space="preserve"> un cambio de políticas económicas y de empleo</w:t>
      </w:r>
    </w:p>
    <w:p w:rsidR="00570F4A" w:rsidRPr="001D3810" w:rsidRDefault="00570F4A" w:rsidP="00A638BA">
      <w:pPr>
        <w:spacing w:after="0" w:line="240" w:lineRule="auto"/>
        <w:jc w:val="center"/>
        <w:rPr>
          <w:noProof/>
          <w:color w:val="4F6228" w:themeColor="accent3" w:themeShade="80"/>
          <w:lang w:eastAsia="es-ES"/>
        </w:rPr>
      </w:pPr>
    </w:p>
    <w:p w:rsidR="00925583" w:rsidRPr="001D3810" w:rsidRDefault="000F2937" w:rsidP="000F2937">
      <w:pPr>
        <w:jc w:val="center"/>
        <w:rPr>
          <w:b/>
          <w:color w:val="4F6228" w:themeColor="accent3" w:themeShade="80"/>
        </w:rPr>
      </w:pPr>
      <w:r w:rsidRPr="001D3810">
        <w:rPr>
          <w:noProof/>
          <w:color w:val="4F6228" w:themeColor="accent3" w:themeShade="80"/>
          <w:lang w:eastAsia="es-ES"/>
        </w:rPr>
        <w:drawing>
          <wp:inline distT="0" distB="0" distL="0" distR="0">
            <wp:extent cx="2383971" cy="1143000"/>
            <wp:effectExtent l="19050" t="0" r="0" b="0"/>
            <wp:docPr id="3" name="Imagen 2" descr="LOGO UGT ANDALUC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GT ANDALUCÍA"/>
                    <pic:cNvPicPr>
                      <a:picLocks noChangeAspect="1" noChangeArrowheads="1"/>
                    </pic:cNvPicPr>
                  </pic:nvPicPr>
                  <pic:blipFill>
                    <a:blip r:embed="rId8" cstate="print"/>
                    <a:srcRect/>
                    <a:stretch>
                      <a:fillRect/>
                    </a:stretch>
                  </pic:blipFill>
                  <pic:spPr bwMode="auto">
                    <a:xfrm>
                      <a:off x="0" y="0"/>
                      <a:ext cx="2383971" cy="1143000"/>
                    </a:xfrm>
                    <a:prstGeom prst="rect">
                      <a:avLst/>
                    </a:prstGeom>
                    <a:noFill/>
                    <a:ln w="9525">
                      <a:noFill/>
                      <a:miter lim="800000"/>
                      <a:headEnd/>
                      <a:tailEnd/>
                    </a:ln>
                  </pic:spPr>
                </pic:pic>
              </a:graphicData>
            </a:graphic>
          </wp:inline>
        </w:drawing>
      </w:r>
    </w:p>
    <w:p w:rsidR="003224D7" w:rsidRPr="001D3810" w:rsidRDefault="003224D7" w:rsidP="002539C1">
      <w:pPr>
        <w:spacing w:after="0" w:line="240" w:lineRule="auto"/>
        <w:jc w:val="center"/>
        <w:rPr>
          <w:b/>
          <w:color w:val="4F6228" w:themeColor="accent3" w:themeShade="80"/>
          <w:sz w:val="32"/>
          <w:szCs w:val="32"/>
        </w:rPr>
      </w:pPr>
      <w:r w:rsidRPr="001D3810">
        <w:rPr>
          <w:b/>
          <w:color w:val="4F6228" w:themeColor="accent3" w:themeShade="80"/>
          <w:sz w:val="32"/>
          <w:szCs w:val="32"/>
        </w:rPr>
        <w:t xml:space="preserve">Secretaría de </w:t>
      </w:r>
      <w:r w:rsidR="000F2937" w:rsidRPr="001D3810">
        <w:rPr>
          <w:b/>
          <w:color w:val="4F6228" w:themeColor="accent3" w:themeShade="80"/>
          <w:sz w:val="32"/>
          <w:szCs w:val="32"/>
        </w:rPr>
        <w:t>Formación y Empleo</w:t>
      </w:r>
    </w:p>
    <w:p w:rsidR="00A638BA" w:rsidRPr="001D3810" w:rsidRDefault="008E511B" w:rsidP="00A638BA">
      <w:pPr>
        <w:spacing w:after="0" w:line="240" w:lineRule="auto"/>
        <w:jc w:val="center"/>
        <w:rPr>
          <w:b/>
          <w:color w:val="4F6228" w:themeColor="accent3" w:themeShade="80"/>
          <w:sz w:val="24"/>
          <w:szCs w:val="24"/>
        </w:rPr>
      </w:pPr>
      <w:r w:rsidRPr="001D3810">
        <w:rPr>
          <w:b/>
          <w:color w:val="4F6228" w:themeColor="accent3" w:themeShade="80"/>
          <w:sz w:val="24"/>
          <w:szCs w:val="24"/>
        </w:rPr>
        <w:t>Febrero</w:t>
      </w:r>
      <w:bookmarkStart w:id="0" w:name="_GoBack"/>
      <w:bookmarkEnd w:id="0"/>
      <w:r w:rsidR="00570F4A" w:rsidRPr="001D3810">
        <w:rPr>
          <w:b/>
          <w:color w:val="4F6228" w:themeColor="accent3" w:themeShade="80"/>
          <w:sz w:val="24"/>
          <w:szCs w:val="24"/>
        </w:rPr>
        <w:t>201</w:t>
      </w:r>
      <w:r w:rsidR="00FB6063" w:rsidRPr="001D3810">
        <w:rPr>
          <w:b/>
          <w:color w:val="4F6228" w:themeColor="accent3" w:themeShade="80"/>
          <w:sz w:val="24"/>
          <w:szCs w:val="24"/>
        </w:rPr>
        <w:t>8</w:t>
      </w:r>
    </w:p>
    <w:p w:rsidR="00AC5ECC" w:rsidRPr="001D3810" w:rsidRDefault="00AC5ECC" w:rsidP="00A638BA">
      <w:pPr>
        <w:spacing w:after="0" w:line="240" w:lineRule="auto"/>
        <w:jc w:val="center"/>
        <w:rPr>
          <w:b/>
          <w:sz w:val="28"/>
          <w:szCs w:val="52"/>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FD16F2">
      <w:pPr>
        <w:pBdr>
          <w:bottom w:val="single" w:sz="4" w:space="1" w:color="auto"/>
        </w:pBdr>
        <w:spacing w:after="240" w:line="240" w:lineRule="auto"/>
        <w:jc w:val="center"/>
        <w:rPr>
          <w:b/>
          <w:color w:val="4F6228" w:themeColor="accent3" w:themeShade="80"/>
          <w:sz w:val="40"/>
          <w:szCs w:val="40"/>
        </w:rPr>
      </w:pPr>
      <w:r w:rsidRPr="001D3810">
        <w:rPr>
          <w:b/>
          <w:color w:val="4F6228" w:themeColor="accent3" w:themeShade="80"/>
          <w:sz w:val="40"/>
          <w:szCs w:val="40"/>
        </w:rPr>
        <w:t>SUMARIO</w:t>
      </w:r>
    </w:p>
    <w:p w:rsidR="00FD16F2" w:rsidRPr="001D3810" w:rsidRDefault="00FD16F2" w:rsidP="00231C97">
      <w:pPr>
        <w:spacing w:after="240" w:line="240" w:lineRule="auto"/>
        <w:jc w:val="both"/>
        <w:rPr>
          <w:b/>
          <w:color w:val="4F6228" w:themeColor="accent3" w:themeShade="80"/>
          <w:sz w:val="28"/>
          <w:szCs w:val="28"/>
        </w:rPr>
      </w:pPr>
    </w:p>
    <w:p w:rsidR="00185532" w:rsidRPr="001D3810" w:rsidRDefault="00185532" w:rsidP="00FD16F2">
      <w:pPr>
        <w:spacing w:after="120" w:line="240" w:lineRule="auto"/>
        <w:jc w:val="both"/>
        <w:rPr>
          <w:b/>
          <w:color w:val="4F6228" w:themeColor="accent3" w:themeShade="80"/>
          <w:sz w:val="32"/>
          <w:szCs w:val="32"/>
        </w:rPr>
      </w:pPr>
      <w:r w:rsidRPr="001D3810">
        <w:rPr>
          <w:b/>
          <w:color w:val="4F6228" w:themeColor="accent3" w:themeShade="80"/>
          <w:sz w:val="32"/>
          <w:szCs w:val="32"/>
        </w:rPr>
        <w:t>RESUMEN EJECUTIVO</w:t>
      </w:r>
      <w:r w:rsidR="00B25A4F" w:rsidRPr="001D3810">
        <w:rPr>
          <w:b/>
          <w:color w:val="4F6228" w:themeColor="accent3" w:themeShade="80"/>
          <w:sz w:val="32"/>
          <w:szCs w:val="32"/>
        </w:rPr>
        <w:t xml:space="preserve"> (pág. 3)</w:t>
      </w:r>
    </w:p>
    <w:p w:rsidR="00FD16F2" w:rsidRPr="001D3810" w:rsidRDefault="0079053A"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E</w:t>
      </w:r>
      <w:r w:rsidR="00F53850" w:rsidRPr="001D3810">
        <w:rPr>
          <w:b/>
          <w:color w:val="4F6228" w:themeColor="accent3" w:themeShade="80"/>
          <w:sz w:val="32"/>
          <w:szCs w:val="32"/>
        </w:rPr>
        <w:t>l crecimiento económico</w:t>
      </w:r>
      <w:r w:rsidRPr="001D3810">
        <w:rPr>
          <w:b/>
          <w:color w:val="4F6228" w:themeColor="accent3" w:themeShade="80"/>
          <w:sz w:val="32"/>
          <w:szCs w:val="32"/>
        </w:rPr>
        <w:t xml:space="preserve"> no llega a las familias</w:t>
      </w:r>
      <w:r w:rsidR="00B25A4F" w:rsidRPr="001D3810">
        <w:rPr>
          <w:b/>
          <w:color w:val="4F6228" w:themeColor="accent3" w:themeShade="80"/>
          <w:sz w:val="32"/>
          <w:szCs w:val="32"/>
        </w:rPr>
        <w:t xml:space="preserve"> (pág. 7)</w:t>
      </w:r>
    </w:p>
    <w:p w:rsidR="00FD16F2" w:rsidRPr="001D3810" w:rsidRDefault="00FD16F2"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Se crea empleo, pero muy precario</w:t>
      </w:r>
      <w:r w:rsidR="00B25A4F" w:rsidRPr="001D3810">
        <w:rPr>
          <w:b/>
          <w:color w:val="4F6228" w:themeColor="accent3" w:themeShade="80"/>
          <w:sz w:val="32"/>
          <w:szCs w:val="32"/>
        </w:rPr>
        <w:t xml:space="preserve"> (pág. 9)</w:t>
      </w:r>
    </w:p>
    <w:p w:rsidR="00FD16F2" w:rsidRPr="001D3810" w:rsidRDefault="00C319E1"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 xml:space="preserve">Cae el desempleo, pero persiste el más </w:t>
      </w:r>
      <w:r w:rsidR="00B25A4F" w:rsidRPr="001D3810">
        <w:rPr>
          <w:b/>
          <w:color w:val="4F6228" w:themeColor="accent3" w:themeShade="80"/>
          <w:sz w:val="32"/>
          <w:szCs w:val="32"/>
        </w:rPr>
        <w:t>estructural (pág. 18)</w:t>
      </w:r>
    </w:p>
    <w:p w:rsidR="00FD16F2" w:rsidRPr="001D3810" w:rsidRDefault="00FD16F2"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Los salarios</w:t>
      </w:r>
      <w:r w:rsidR="00373CF9" w:rsidRPr="001D3810">
        <w:rPr>
          <w:b/>
          <w:color w:val="4F6228" w:themeColor="accent3" w:themeShade="80"/>
          <w:sz w:val="32"/>
          <w:szCs w:val="32"/>
        </w:rPr>
        <w:t>, marginados de la recuperación</w:t>
      </w:r>
      <w:r w:rsidR="00B25A4F" w:rsidRPr="001D3810">
        <w:rPr>
          <w:b/>
          <w:color w:val="4F6228" w:themeColor="accent3" w:themeShade="80"/>
          <w:sz w:val="32"/>
          <w:szCs w:val="32"/>
        </w:rPr>
        <w:t xml:space="preserve"> (pág. 25)</w:t>
      </w:r>
    </w:p>
    <w:p w:rsidR="004349F4" w:rsidRPr="001D3810" w:rsidRDefault="004349F4" w:rsidP="004349F4">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La</w:t>
      </w:r>
      <w:r w:rsidR="00193F1A" w:rsidRPr="001D3810">
        <w:rPr>
          <w:b/>
          <w:color w:val="4F6228" w:themeColor="accent3" w:themeShade="80"/>
          <w:sz w:val="32"/>
          <w:szCs w:val="32"/>
        </w:rPr>
        <w:t>s</w:t>
      </w:r>
      <w:r w:rsidRPr="001D3810">
        <w:rPr>
          <w:b/>
          <w:color w:val="4F6228" w:themeColor="accent3" w:themeShade="80"/>
          <w:sz w:val="32"/>
          <w:szCs w:val="32"/>
        </w:rPr>
        <w:t xml:space="preserve"> mujer</w:t>
      </w:r>
      <w:r w:rsidR="00193F1A" w:rsidRPr="001D3810">
        <w:rPr>
          <w:b/>
          <w:color w:val="4F6228" w:themeColor="accent3" w:themeShade="80"/>
          <w:sz w:val="32"/>
          <w:szCs w:val="32"/>
        </w:rPr>
        <w:t>es</w:t>
      </w:r>
      <w:r w:rsidR="000F2937" w:rsidRPr="001D3810">
        <w:rPr>
          <w:b/>
          <w:color w:val="4F6228" w:themeColor="accent3" w:themeShade="80"/>
          <w:sz w:val="32"/>
          <w:szCs w:val="32"/>
        </w:rPr>
        <w:t xml:space="preserve"> </w:t>
      </w:r>
      <w:r w:rsidR="00FD7525" w:rsidRPr="001D3810">
        <w:rPr>
          <w:b/>
          <w:color w:val="4F6228" w:themeColor="accent3" w:themeShade="80"/>
          <w:sz w:val="32"/>
          <w:szCs w:val="32"/>
        </w:rPr>
        <w:t>siguen sufriendo una peor</w:t>
      </w:r>
      <w:r w:rsidR="00B25A4F" w:rsidRPr="001D3810">
        <w:rPr>
          <w:b/>
          <w:color w:val="4F6228" w:themeColor="accent3" w:themeShade="80"/>
          <w:sz w:val="32"/>
          <w:szCs w:val="32"/>
        </w:rPr>
        <w:t xml:space="preserve"> situación relativa (pág. 29)</w:t>
      </w:r>
    </w:p>
    <w:p w:rsidR="00FD16F2" w:rsidRPr="001D3810" w:rsidRDefault="00343B0D"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Los niveles de pobreza y desigualdad son muy elevados</w:t>
      </w:r>
      <w:r w:rsidR="00B25A4F" w:rsidRPr="001D3810">
        <w:rPr>
          <w:b/>
          <w:color w:val="4F6228" w:themeColor="accent3" w:themeShade="80"/>
          <w:sz w:val="32"/>
          <w:szCs w:val="32"/>
        </w:rPr>
        <w:t xml:space="preserve"> (pág. 33)</w:t>
      </w:r>
    </w:p>
    <w:p w:rsidR="00FD16F2" w:rsidRPr="001D3810" w:rsidRDefault="002115AD" w:rsidP="00FD16F2">
      <w:pPr>
        <w:pStyle w:val="Prrafodelista"/>
        <w:numPr>
          <w:ilvl w:val="0"/>
          <w:numId w:val="4"/>
        </w:numPr>
        <w:spacing w:after="120" w:line="240" w:lineRule="auto"/>
        <w:ind w:left="425" w:hanging="425"/>
        <w:contextualSpacing w:val="0"/>
        <w:jc w:val="both"/>
        <w:rPr>
          <w:b/>
          <w:color w:val="4F6228" w:themeColor="accent3" w:themeShade="80"/>
          <w:sz w:val="32"/>
          <w:szCs w:val="32"/>
        </w:rPr>
      </w:pPr>
      <w:r w:rsidRPr="001D3810">
        <w:rPr>
          <w:b/>
          <w:color w:val="4F6228" w:themeColor="accent3" w:themeShade="80"/>
          <w:sz w:val="32"/>
          <w:szCs w:val="32"/>
        </w:rPr>
        <w:t>Revertir las últimas reformas laborales y atacar el fraude en la contratación es prioritario para erradicar la precariedad</w:t>
      </w:r>
      <w:r w:rsidR="00B25A4F" w:rsidRPr="001D3810">
        <w:rPr>
          <w:b/>
          <w:color w:val="4F6228" w:themeColor="accent3" w:themeShade="80"/>
          <w:sz w:val="32"/>
          <w:szCs w:val="32"/>
        </w:rPr>
        <w:t xml:space="preserve"> (pág. 35)</w:t>
      </w: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rsidP="00231C97">
      <w:pPr>
        <w:spacing w:after="240" w:line="240" w:lineRule="auto"/>
        <w:jc w:val="both"/>
        <w:rPr>
          <w:b/>
          <w:sz w:val="28"/>
          <w:szCs w:val="28"/>
        </w:rPr>
      </w:pPr>
    </w:p>
    <w:p w:rsidR="00FD16F2" w:rsidRPr="001D3810" w:rsidRDefault="00FD16F2">
      <w:pPr>
        <w:rPr>
          <w:b/>
          <w:sz w:val="28"/>
          <w:szCs w:val="28"/>
        </w:rPr>
      </w:pPr>
      <w:r w:rsidRPr="001D3810">
        <w:rPr>
          <w:b/>
          <w:sz w:val="28"/>
          <w:szCs w:val="28"/>
        </w:rPr>
        <w:br w:type="page"/>
      </w:r>
    </w:p>
    <w:p w:rsidR="00F31C82" w:rsidRPr="001D3810" w:rsidRDefault="00F31C82" w:rsidP="00F31C82">
      <w:pPr>
        <w:pBdr>
          <w:bottom w:val="single" w:sz="4" w:space="1" w:color="auto"/>
        </w:pBdr>
        <w:spacing w:after="0" w:line="240" w:lineRule="auto"/>
        <w:jc w:val="center"/>
        <w:rPr>
          <w:b/>
          <w:color w:val="4F6228" w:themeColor="accent3" w:themeShade="80"/>
          <w:sz w:val="28"/>
          <w:szCs w:val="28"/>
        </w:rPr>
      </w:pPr>
      <w:r w:rsidRPr="001D3810">
        <w:rPr>
          <w:b/>
          <w:color w:val="4F6228" w:themeColor="accent3" w:themeShade="80"/>
          <w:sz w:val="28"/>
          <w:szCs w:val="28"/>
        </w:rPr>
        <w:lastRenderedPageBreak/>
        <w:t>RESUMEN EJECUTIVO</w:t>
      </w:r>
    </w:p>
    <w:p w:rsidR="00F31C82" w:rsidRPr="001D3810" w:rsidRDefault="00F31C82" w:rsidP="00F31C82">
      <w:pPr>
        <w:widowControl w:val="0"/>
        <w:tabs>
          <w:tab w:val="left" w:pos="4830"/>
        </w:tabs>
        <w:spacing w:after="0" w:line="240" w:lineRule="auto"/>
        <w:jc w:val="both"/>
        <w:rPr>
          <w:rFonts w:ascii="Calibri" w:eastAsia="Times New Roman" w:hAnsi="Calibri" w:cs="Times New Roman"/>
          <w:sz w:val="24"/>
          <w:szCs w:val="24"/>
          <w:lang w:eastAsia="es-ES"/>
        </w:rPr>
      </w:pPr>
    </w:p>
    <w:p w:rsidR="00FF0FF5" w:rsidRPr="001D3810" w:rsidRDefault="00FF0FF5" w:rsidP="00F31C82">
      <w:pPr>
        <w:widowControl w:val="0"/>
        <w:tabs>
          <w:tab w:val="left" w:pos="4830"/>
        </w:tabs>
        <w:spacing w:after="0" w:line="240" w:lineRule="auto"/>
        <w:jc w:val="both"/>
        <w:rPr>
          <w:rFonts w:ascii="Calibri" w:eastAsia="Times New Roman" w:hAnsi="Calibri" w:cs="Times New Roman"/>
          <w:sz w:val="24"/>
          <w:szCs w:val="24"/>
          <w:lang w:eastAsia="es-ES"/>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La economía </w:t>
      </w:r>
      <w:r w:rsidR="004C3F3C" w:rsidRPr="001D3810">
        <w:rPr>
          <w:sz w:val="24"/>
          <w:szCs w:val="24"/>
        </w:rPr>
        <w:t>andaluza</w:t>
      </w:r>
      <w:r w:rsidRPr="001D3810">
        <w:rPr>
          <w:sz w:val="24"/>
          <w:szCs w:val="24"/>
        </w:rPr>
        <w:t xml:space="preserve"> ha mantenido en 2017 un ritmo muy importante de aumento del PIB, en el entorno del 3%, superior incluso al previsto a comienzos de año. Ha sido el cuarto año de crecimiento económico, y se prevé que continúe en 2018, aunque con una suave desaceleración. Estamos, pues, en plena fase expansiva, y </w:t>
      </w:r>
      <w:r w:rsidRPr="001D3810">
        <w:rPr>
          <w:rFonts w:ascii="Calibri" w:eastAsia="Times New Roman" w:hAnsi="Calibri" w:cs="Times New Roman"/>
          <w:sz w:val="24"/>
          <w:szCs w:val="32"/>
          <w:lang w:eastAsia="es-ES"/>
        </w:rPr>
        <w:t xml:space="preserve">las empresas han recuperado con creces los niveles de beneficio de antes de la crisis. </w:t>
      </w:r>
      <w:r w:rsidRPr="001D3810">
        <w:rPr>
          <w:rFonts w:ascii="Calibri" w:eastAsia="Times New Roman" w:hAnsi="Calibri" w:cs="Times New Roman"/>
          <w:b/>
          <w:color w:val="4F6228" w:themeColor="accent3" w:themeShade="80"/>
          <w:sz w:val="24"/>
          <w:szCs w:val="32"/>
          <w:lang w:eastAsia="es-ES"/>
        </w:rPr>
        <w:t>Se crea empleo, pero de muy baja calidad</w:t>
      </w:r>
      <w:r w:rsidRPr="001D3810">
        <w:rPr>
          <w:rFonts w:ascii="Calibri" w:eastAsia="Times New Roman" w:hAnsi="Calibri" w:cs="Times New Roman"/>
          <w:sz w:val="24"/>
          <w:szCs w:val="32"/>
          <w:lang w:eastAsia="es-ES"/>
        </w:rPr>
        <w:t xml:space="preserve">, por lo que su productividad es muy reducida. Es decir, </w:t>
      </w:r>
      <w:r w:rsidRPr="001D3810">
        <w:rPr>
          <w:rFonts w:ascii="Calibri" w:eastAsia="Times New Roman" w:hAnsi="Calibri" w:cs="Times New Roman"/>
          <w:b/>
          <w:color w:val="4F6228" w:themeColor="accent3" w:themeShade="80"/>
          <w:sz w:val="24"/>
          <w:szCs w:val="32"/>
          <w:lang w:eastAsia="es-ES"/>
        </w:rPr>
        <w:t>estamos repitiendo el patrón de crecimiento y creación de empleo de etapas anteriores, muy frágil</w:t>
      </w:r>
      <w:r w:rsidRPr="001D3810">
        <w:rPr>
          <w:rFonts w:ascii="Calibri" w:eastAsia="Times New Roman" w:hAnsi="Calibri" w:cs="Times New Roman"/>
          <w:sz w:val="24"/>
          <w:szCs w:val="32"/>
          <w:lang w:eastAsia="es-ES"/>
        </w:rPr>
        <w:t xml:space="preserve">, de nefastas consecuencias cuando llegan dificultades económicas. </w:t>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color w:val="4F6228" w:themeColor="accent3" w:themeShade="80"/>
          <w:sz w:val="24"/>
          <w:szCs w:val="24"/>
        </w:rPr>
      </w:pPr>
      <w:r w:rsidRPr="001D3810">
        <w:rPr>
          <w:sz w:val="24"/>
          <w:szCs w:val="24"/>
        </w:rPr>
        <w:t>Pese al aumento de la ocupación desde 201</w:t>
      </w:r>
      <w:r w:rsidR="004C3F3C" w:rsidRPr="001D3810">
        <w:rPr>
          <w:sz w:val="24"/>
          <w:szCs w:val="24"/>
        </w:rPr>
        <w:t>5</w:t>
      </w:r>
      <w:r w:rsidRPr="001D3810">
        <w:rPr>
          <w:sz w:val="24"/>
          <w:szCs w:val="24"/>
        </w:rPr>
        <w:t>,</w:t>
      </w:r>
      <w:r w:rsidRPr="001D3810">
        <w:rPr>
          <w:b/>
          <w:sz w:val="24"/>
          <w:szCs w:val="24"/>
        </w:rPr>
        <w:t xml:space="preserve"> </w:t>
      </w:r>
      <w:r w:rsidRPr="001D3810">
        <w:rPr>
          <w:b/>
          <w:color w:val="4F6228" w:themeColor="accent3" w:themeShade="80"/>
          <w:sz w:val="24"/>
          <w:szCs w:val="24"/>
        </w:rPr>
        <w:t xml:space="preserve">seguimos teniendo </w:t>
      </w:r>
      <w:r w:rsidR="004C3F3C" w:rsidRPr="001D3810">
        <w:rPr>
          <w:b/>
          <w:color w:val="4F6228" w:themeColor="accent3" w:themeShade="80"/>
          <w:sz w:val="24"/>
          <w:szCs w:val="24"/>
        </w:rPr>
        <w:t>265.000</w:t>
      </w:r>
      <w:r w:rsidRPr="001D3810">
        <w:rPr>
          <w:b/>
          <w:color w:val="4F6228" w:themeColor="accent3" w:themeShade="80"/>
          <w:sz w:val="24"/>
          <w:szCs w:val="24"/>
        </w:rPr>
        <w:t xml:space="preserve"> empleos</w:t>
      </w:r>
      <w:r w:rsidR="004C3F3C" w:rsidRPr="001D3810">
        <w:rPr>
          <w:b/>
          <w:color w:val="4F6228" w:themeColor="accent3" w:themeShade="80"/>
          <w:sz w:val="24"/>
          <w:szCs w:val="24"/>
        </w:rPr>
        <w:t xml:space="preserve"> menos</w:t>
      </w:r>
      <w:r w:rsidRPr="001D3810">
        <w:rPr>
          <w:b/>
          <w:color w:val="4F6228" w:themeColor="accent3" w:themeShade="80"/>
          <w:sz w:val="24"/>
          <w:szCs w:val="24"/>
        </w:rPr>
        <w:t xml:space="preserve"> que antes de la gran crisis, y </w:t>
      </w:r>
      <w:r w:rsidR="004C3F3C" w:rsidRPr="001D3810">
        <w:rPr>
          <w:b/>
          <w:color w:val="4F6228" w:themeColor="accent3" w:themeShade="80"/>
          <w:sz w:val="24"/>
          <w:szCs w:val="24"/>
        </w:rPr>
        <w:t>400.000</w:t>
      </w:r>
      <w:r w:rsidRPr="001D3810">
        <w:rPr>
          <w:b/>
          <w:color w:val="4F6228" w:themeColor="accent3" w:themeShade="80"/>
          <w:sz w:val="24"/>
          <w:szCs w:val="24"/>
        </w:rPr>
        <w:t xml:space="preserve"> desempleados más. </w:t>
      </w:r>
      <w:r w:rsidRPr="001D3810">
        <w:rPr>
          <w:color w:val="4F6228" w:themeColor="accent3" w:themeShade="80"/>
          <w:sz w:val="24"/>
          <w:szCs w:val="24"/>
        </w:rPr>
        <w:t>Y, sobre todo,</w:t>
      </w:r>
      <w:r w:rsidRPr="001D3810">
        <w:rPr>
          <w:b/>
          <w:color w:val="4F6228" w:themeColor="accent3" w:themeShade="80"/>
          <w:sz w:val="24"/>
          <w:szCs w:val="24"/>
        </w:rPr>
        <w:t xml:space="preserve"> ha empeorado la calidad del empleo existente, extendiéndose la precariedad en sus cada vez más variadas manifestaciones.</w:t>
      </w:r>
    </w:p>
    <w:p w:rsidR="00F31C82" w:rsidRPr="001D3810" w:rsidRDefault="00F31C82" w:rsidP="00F31C82">
      <w:pPr>
        <w:pStyle w:val="Prrafodelista"/>
        <w:rPr>
          <w:b/>
          <w:sz w:val="24"/>
          <w:szCs w:val="24"/>
        </w:rPr>
      </w:pPr>
    </w:p>
    <w:p w:rsidR="00F31C82" w:rsidRPr="001D3810" w:rsidRDefault="00F31C82" w:rsidP="00F31C82">
      <w:pPr>
        <w:pStyle w:val="Prrafodelista"/>
        <w:numPr>
          <w:ilvl w:val="0"/>
          <w:numId w:val="17"/>
        </w:numPr>
        <w:spacing w:after="0" w:line="240" w:lineRule="auto"/>
        <w:ind w:left="284" w:hanging="284"/>
        <w:jc w:val="both"/>
        <w:rPr>
          <w:b/>
          <w:color w:val="4F6228" w:themeColor="accent3" w:themeShade="80"/>
          <w:sz w:val="24"/>
          <w:szCs w:val="24"/>
        </w:rPr>
      </w:pPr>
      <w:r w:rsidRPr="001D3810">
        <w:rPr>
          <w:sz w:val="24"/>
          <w:szCs w:val="24"/>
        </w:rPr>
        <w:t xml:space="preserve">Como en otras salidas de crisis en España, los empleos temporales son los que crecen más, </w:t>
      </w:r>
      <w:r w:rsidR="00EF3B4E" w:rsidRPr="001D3810">
        <w:rPr>
          <w:sz w:val="24"/>
          <w:szCs w:val="24"/>
        </w:rPr>
        <w:t>aunque la destrucción de empleo temporal provocó importantes descenso en</w:t>
      </w:r>
      <w:r w:rsidRPr="001D3810">
        <w:rPr>
          <w:sz w:val="24"/>
          <w:szCs w:val="24"/>
        </w:rPr>
        <w:t xml:space="preserve"> </w:t>
      </w:r>
      <w:r w:rsidRPr="001D3810">
        <w:rPr>
          <w:b/>
          <w:color w:val="4F6228" w:themeColor="accent3" w:themeShade="80"/>
          <w:sz w:val="24"/>
          <w:szCs w:val="24"/>
        </w:rPr>
        <w:t>la tasa de temporalidad</w:t>
      </w:r>
      <w:r w:rsidRPr="001D3810">
        <w:rPr>
          <w:b/>
          <w:sz w:val="24"/>
          <w:szCs w:val="24"/>
        </w:rPr>
        <w:t xml:space="preserve"> </w:t>
      </w:r>
      <w:r w:rsidRPr="001D3810">
        <w:rPr>
          <w:sz w:val="24"/>
          <w:szCs w:val="24"/>
        </w:rPr>
        <w:t>(</w:t>
      </w:r>
      <w:r w:rsidR="00EF3B4E" w:rsidRPr="001D3810">
        <w:rPr>
          <w:sz w:val="24"/>
          <w:szCs w:val="24"/>
        </w:rPr>
        <w:t>35</w:t>
      </w:r>
      <w:r w:rsidRPr="001D3810">
        <w:rPr>
          <w:sz w:val="24"/>
          <w:szCs w:val="24"/>
        </w:rPr>
        <w:t xml:space="preserve">,7%, </w:t>
      </w:r>
      <w:r w:rsidR="00847DC9" w:rsidRPr="001D3810">
        <w:rPr>
          <w:sz w:val="24"/>
          <w:szCs w:val="24"/>
        </w:rPr>
        <w:t>5,4</w:t>
      </w:r>
      <w:r w:rsidRPr="001D3810">
        <w:rPr>
          <w:sz w:val="24"/>
          <w:szCs w:val="24"/>
        </w:rPr>
        <w:t xml:space="preserve"> puntos m</w:t>
      </w:r>
      <w:r w:rsidR="00847DC9" w:rsidRPr="001D3810">
        <w:rPr>
          <w:sz w:val="24"/>
          <w:szCs w:val="24"/>
        </w:rPr>
        <w:t>á</w:t>
      </w:r>
      <w:r w:rsidRPr="001D3810">
        <w:rPr>
          <w:sz w:val="24"/>
          <w:szCs w:val="24"/>
        </w:rPr>
        <w:t xml:space="preserve">s que a inicios de 2013). </w:t>
      </w:r>
      <w:r w:rsidRPr="001D3810">
        <w:rPr>
          <w:b/>
          <w:color w:val="4F6228" w:themeColor="accent3" w:themeShade="80"/>
          <w:sz w:val="24"/>
          <w:szCs w:val="24"/>
        </w:rPr>
        <w:t>La causa de este uso excesivo a la contratación temporal es el incumplimiento generalizado de la ley por parte de las empresas</w:t>
      </w:r>
      <w:r w:rsidRPr="001D3810">
        <w:rPr>
          <w:sz w:val="24"/>
          <w:szCs w:val="24"/>
        </w:rPr>
        <w:t xml:space="preserve">, realizando extensivamente contratos temporales para cubrió puestos de naturaleza indefinida. Se trata, en consecuencia, de una situación de </w:t>
      </w:r>
      <w:r w:rsidRPr="001D3810">
        <w:rPr>
          <w:b/>
          <w:color w:val="4F6228" w:themeColor="accent3" w:themeShade="80"/>
          <w:sz w:val="24"/>
          <w:szCs w:val="24"/>
        </w:rPr>
        <w:t>fraude masivo, amparado en la ausencia de penalizaciones y controles efectivos.</w:t>
      </w:r>
    </w:p>
    <w:p w:rsidR="00F31C82" w:rsidRPr="001D3810" w:rsidRDefault="00F31C82" w:rsidP="00F31C82">
      <w:pPr>
        <w:pStyle w:val="Prrafodelista"/>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Pero no solo la temporalidad del empleo ha empeorado. </w:t>
      </w:r>
      <w:r w:rsidRPr="001D3810">
        <w:rPr>
          <w:b/>
          <w:color w:val="4F6228" w:themeColor="accent3" w:themeShade="80"/>
          <w:sz w:val="24"/>
          <w:szCs w:val="24"/>
        </w:rPr>
        <w:t xml:space="preserve">Las reformas laborales de 2010, y sobre todo, la de 2012, han promovido una </w:t>
      </w:r>
      <w:r w:rsidRPr="001D3810">
        <w:rPr>
          <w:b/>
          <w:i/>
          <w:color w:val="4F6228" w:themeColor="accent3" w:themeShade="80"/>
          <w:sz w:val="24"/>
          <w:szCs w:val="24"/>
        </w:rPr>
        <w:t>precariedad generalizada</w:t>
      </w:r>
      <w:r w:rsidRPr="001D3810">
        <w:rPr>
          <w:b/>
          <w:i/>
          <w:sz w:val="24"/>
          <w:szCs w:val="24"/>
        </w:rPr>
        <w:t xml:space="preserve">: </w:t>
      </w:r>
      <w:r w:rsidRPr="001D3810">
        <w:rPr>
          <w:sz w:val="24"/>
          <w:szCs w:val="24"/>
        </w:rPr>
        <w:t>ha aumentado el empleo a tiempo parcial, eminentemente involuntario (</w:t>
      </w:r>
      <w:r w:rsidR="00EF3B4E" w:rsidRPr="001D3810">
        <w:rPr>
          <w:sz w:val="24"/>
          <w:szCs w:val="24"/>
        </w:rPr>
        <w:t>62</w:t>
      </w:r>
      <w:r w:rsidRPr="001D3810">
        <w:rPr>
          <w:sz w:val="24"/>
          <w:szCs w:val="24"/>
        </w:rPr>
        <w:t>,</w:t>
      </w:r>
      <w:r w:rsidR="00EF3B4E" w:rsidRPr="001D3810">
        <w:rPr>
          <w:sz w:val="24"/>
          <w:szCs w:val="24"/>
        </w:rPr>
        <w:t>1</w:t>
      </w:r>
      <w:r w:rsidRPr="001D3810">
        <w:rPr>
          <w:sz w:val="24"/>
          <w:szCs w:val="24"/>
        </w:rPr>
        <w:t>%), configurado prácticamente como un contrato</w:t>
      </w:r>
      <w:r w:rsidRPr="001D3810">
        <w:rPr>
          <w:i/>
          <w:sz w:val="24"/>
          <w:szCs w:val="24"/>
        </w:rPr>
        <w:t xml:space="preserve"> “a llamada” </w:t>
      </w:r>
      <w:r w:rsidRPr="001D3810">
        <w:rPr>
          <w:sz w:val="24"/>
          <w:szCs w:val="24"/>
        </w:rPr>
        <w:t xml:space="preserve">con el que es imposible cualquier tipo de conciliación; solo </w:t>
      </w:r>
      <w:r w:rsidR="00EF3B4E" w:rsidRPr="001D3810">
        <w:rPr>
          <w:sz w:val="24"/>
          <w:szCs w:val="24"/>
        </w:rPr>
        <w:t>5</w:t>
      </w:r>
      <w:r w:rsidRPr="001D3810">
        <w:rPr>
          <w:sz w:val="24"/>
          <w:szCs w:val="24"/>
        </w:rPr>
        <w:t xml:space="preserve"> de cada 100 contratos firmados son de carácter indefinido; crece el peso de los contratos de duración muy reducida: (2</w:t>
      </w:r>
      <w:r w:rsidR="00EF3B4E" w:rsidRPr="001D3810">
        <w:rPr>
          <w:sz w:val="24"/>
          <w:szCs w:val="24"/>
        </w:rPr>
        <w:t>0</w:t>
      </w:r>
      <w:r w:rsidRPr="001D3810">
        <w:rPr>
          <w:sz w:val="24"/>
          <w:szCs w:val="24"/>
        </w:rPr>
        <w:t>,</w:t>
      </w:r>
      <w:r w:rsidR="00EF3B4E" w:rsidRPr="001D3810">
        <w:rPr>
          <w:sz w:val="24"/>
          <w:szCs w:val="24"/>
        </w:rPr>
        <w:t>4</w:t>
      </w:r>
      <w:r w:rsidRPr="001D3810">
        <w:rPr>
          <w:sz w:val="24"/>
          <w:szCs w:val="24"/>
        </w:rPr>
        <w:t xml:space="preserve">%); el empleo indefinido es cada vez es más inestable, al incorporar figuras como el </w:t>
      </w:r>
      <w:r w:rsidRPr="001D3810">
        <w:rPr>
          <w:i/>
          <w:sz w:val="24"/>
          <w:szCs w:val="24"/>
        </w:rPr>
        <w:t>contrato de apoyo a emprendedores</w:t>
      </w:r>
      <w:r w:rsidRPr="001D3810">
        <w:rPr>
          <w:sz w:val="24"/>
          <w:szCs w:val="24"/>
        </w:rPr>
        <w:t>, más barato y precario que cualquier temporal (suponen ya el 12,8% del total de contratos</w:t>
      </w:r>
      <w:r w:rsidR="00EF3B4E" w:rsidRPr="001D3810">
        <w:rPr>
          <w:sz w:val="24"/>
          <w:szCs w:val="24"/>
        </w:rPr>
        <w:t xml:space="preserve"> en todo el Estado</w:t>
      </w:r>
      <w:r w:rsidRPr="001D3810">
        <w:rPr>
          <w:sz w:val="24"/>
          <w:szCs w:val="24"/>
        </w:rPr>
        <w:t>).</w:t>
      </w:r>
    </w:p>
    <w:p w:rsidR="00F31C82" w:rsidRPr="001D3810" w:rsidRDefault="00F31C82" w:rsidP="00F31C82">
      <w:pPr>
        <w:pStyle w:val="Prrafodelista"/>
        <w:rPr>
          <w:sz w:val="24"/>
          <w:szCs w:val="24"/>
        </w:rPr>
      </w:pPr>
    </w:p>
    <w:p w:rsidR="00F31C82" w:rsidRPr="001D3810" w:rsidRDefault="00F31C82" w:rsidP="00F31C82">
      <w:pPr>
        <w:pStyle w:val="Prrafodelista"/>
        <w:numPr>
          <w:ilvl w:val="0"/>
          <w:numId w:val="17"/>
        </w:numPr>
        <w:spacing w:after="0" w:line="240" w:lineRule="auto"/>
        <w:ind w:left="284" w:hanging="284"/>
        <w:jc w:val="both"/>
        <w:rPr>
          <w:color w:val="4F6228" w:themeColor="accent3" w:themeShade="80"/>
          <w:sz w:val="24"/>
          <w:szCs w:val="24"/>
        </w:rPr>
      </w:pPr>
      <w:r w:rsidRPr="001D3810">
        <w:rPr>
          <w:sz w:val="24"/>
          <w:szCs w:val="24"/>
        </w:rPr>
        <w:t xml:space="preserve">También </w:t>
      </w:r>
      <w:r w:rsidRPr="001D3810">
        <w:rPr>
          <w:rFonts w:ascii="Calibri" w:eastAsia="Calibri" w:hAnsi="Calibri" w:cs="Times New Roman"/>
          <w:sz w:val="24"/>
          <w:szCs w:val="24"/>
        </w:rPr>
        <w:t xml:space="preserve">han aparecido nuevas formas laborales que están generando condiciones de trabajo incluso peores, puesto que burlan las garantías mínimas que establecen los convenios colectivos, como las </w:t>
      </w:r>
      <w:r w:rsidRPr="001D3810">
        <w:rPr>
          <w:rFonts w:ascii="Calibri" w:eastAsia="Calibri" w:hAnsi="Calibri" w:cs="Times New Roman"/>
          <w:b/>
          <w:color w:val="4F6228" w:themeColor="accent3" w:themeShade="80"/>
          <w:sz w:val="24"/>
          <w:szCs w:val="24"/>
        </w:rPr>
        <w:t xml:space="preserve">empresas de </w:t>
      </w:r>
      <w:r w:rsidRPr="001D3810">
        <w:rPr>
          <w:rFonts w:ascii="Calibri" w:eastAsia="Calibri" w:hAnsi="Calibri" w:cs="Times New Roman"/>
          <w:b/>
          <w:i/>
          <w:color w:val="4F6228" w:themeColor="accent3" w:themeShade="80"/>
          <w:sz w:val="24"/>
          <w:szCs w:val="24"/>
        </w:rPr>
        <w:t>multiservicios</w:t>
      </w:r>
      <w:r w:rsidRPr="001D3810">
        <w:rPr>
          <w:rFonts w:ascii="Calibri" w:eastAsia="Calibri" w:hAnsi="Calibri" w:cs="Times New Roman"/>
          <w:b/>
          <w:i/>
          <w:sz w:val="24"/>
          <w:szCs w:val="24"/>
        </w:rPr>
        <w:t xml:space="preserve">, </w:t>
      </w:r>
      <w:r w:rsidRPr="001D3810">
        <w:rPr>
          <w:rFonts w:ascii="Calibri" w:eastAsia="Calibri" w:hAnsi="Calibri" w:cs="Times New Roman"/>
          <w:sz w:val="24"/>
          <w:szCs w:val="24"/>
        </w:rPr>
        <w:t xml:space="preserve">y expulsan a los trabajadores del sistema básico de derechos laborales </w:t>
      </w:r>
      <w:r w:rsidR="00444E28" w:rsidRPr="001D3810">
        <w:rPr>
          <w:rFonts w:ascii="Calibri" w:eastAsia="Calibri" w:hAnsi="Calibri" w:cs="Times New Roman"/>
          <w:sz w:val="24"/>
          <w:szCs w:val="24"/>
        </w:rPr>
        <w:t xml:space="preserve">y de </w:t>
      </w:r>
      <w:r w:rsidRPr="001D3810">
        <w:rPr>
          <w:rFonts w:ascii="Calibri" w:eastAsia="Calibri" w:hAnsi="Calibri" w:cs="Times New Roman"/>
          <w:sz w:val="24"/>
          <w:szCs w:val="24"/>
        </w:rPr>
        <w:t>protección social</w:t>
      </w:r>
      <w:r w:rsidRPr="001D3810">
        <w:rPr>
          <w:rFonts w:ascii="Calibri" w:eastAsia="Calibri" w:hAnsi="Calibri" w:cs="Times New Roman"/>
          <w:b/>
          <w:i/>
          <w:sz w:val="24"/>
          <w:szCs w:val="24"/>
        </w:rPr>
        <w:t xml:space="preserve"> </w:t>
      </w:r>
      <w:r w:rsidRPr="001D3810">
        <w:rPr>
          <w:rFonts w:ascii="Calibri" w:eastAsia="Calibri" w:hAnsi="Calibri" w:cs="Times New Roman"/>
          <w:b/>
          <w:i/>
          <w:color w:val="4F6228" w:themeColor="accent3" w:themeShade="80"/>
          <w:sz w:val="24"/>
          <w:szCs w:val="24"/>
        </w:rPr>
        <w:t>(falsos autónomos o freelance, plataformas digitales, etc.)</w:t>
      </w:r>
      <w:r w:rsidRPr="001D3810">
        <w:rPr>
          <w:rFonts w:ascii="Calibri" w:eastAsia="Calibri" w:hAnsi="Calibri" w:cs="Times New Roman"/>
          <w:color w:val="4F6228" w:themeColor="accent3" w:themeShade="80"/>
          <w:sz w:val="24"/>
          <w:szCs w:val="24"/>
        </w:rPr>
        <w:t xml:space="preserve">. </w:t>
      </w:r>
      <w:r w:rsidRPr="001D3810">
        <w:rPr>
          <w:color w:val="4F6228" w:themeColor="accent3" w:themeShade="80"/>
          <w:sz w:val="24"/>
          <w:szCs w:val="24"/>
        </w:rPr>
        <w:t xml:space="preserve">En suma, </w:t>
      </w:r>
      <w:r w:rsidRPr="001D3810">
        <w:rPr>
          <w:b/>
          <w:color w:val="4F6228" w:themeColor="accent3" w:themeShade="80"/>
          <w:sz w:val="24"/>
          <w:szCs w:val="24"/>
        </w:rPr>
        <w:t>crece el PIB, pero empeoran las condiciones laborales.</w:t>
      </w:r>
    </w:p>
    <w:p w:rsidR="00FF0FF5" w:rsidRPr="001D3810" w:rsidRDefault="00FF0FF5">
      <w:pPr>
        <w:rPr>
          <w:sz w:val="24"/>
          <w:szCs w:val="24"/>
        </w:rPr>
      </w:pPr>
      <w:r w:rsidRPr="001D3810">
        <w:rPr>
          <w:sz w:val="24"/>
          <w:szCs w:val="24"/>
        </w:rPr>
        <w:br w:type="page"/>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Como aspecto positivo, el crecimiento económico y el aumento del empleo produce una </w:t>
      </w:r>
      <w:r w:rsidR="00EF3B4E" w:rsidRPr="001D3810">
        <w:rPr>
          <w:b/>
          <w:color w:val="4F6228" w:themeColor="accent3" w:themeShade="80"/>
          <w:sz w:val="24"/>
          <w:szCs w:val="24"/>
        </w:rPr>
        <w:t>importante</w:t>
      </w:r>
      <w:r w:rsidRPr="001D3810">
        <w:rPr>
          <w:b/>
          <w:color w:val="4F6228" w:themeColor="accent3" w:themeShade="80"/>
          <w:sz w:val="24"/>
          <w:szCs w:val="24"/>
        </w:rPr>
        <w:t xml:space="preserve"> reducción del desempleo</w:t>
      </w:r>
      <w:r w:rsidRPr="001D3810">
        <w:rPr>
          <w:sz w:val="24"/>
          <w:szCs w:val="24"/>
        </w:rPr>
        <w:t xml:space="preserve">: hay </w:t>
      </w:r>
      <w:r w:rsidR="00EF3B4E" w:rsidRPr="001D3810">
        <w:rPr>
          <w:sz w:val="24"/>
          <w:szCs w:val="24"/>
        </w:rPr>
        <w:t>500.000</w:t>
      </w:r>
      <w:r w:rsidRPr="001D3810">
        <w:rPr>
          <w:sz w:val="24"/>
          <w:szCs w:val="24"/>
        </w:rPr>
        <w:t xml:space="preserve"> desempleados menos que a</w:t>
      </w:r>
      <w:r w:rsidR="00EF3B4E" w:rsidRPr="001D3810">
        <w:rPr>
          <w:sz w:val="24"/>
          <w:szCs w:val="24"/>
        </w:rPr>
        <w:t xml:space="preserve"> finales</w:t>
      </w:r>
      <w:r w:rsidRPr="001D3810">
        <w:rPr>
          <w:sz w:val="24"/>
          <w:szCs w:val="24"/>
        </w:rPr>
        <w:t xml:space="preserve"> de 2013, y la tasa de paro ha descendido </w:t>
      </w:r>
      <w:r w:rsidR="00EF3B4E" w:rsidRPr="001D3810">
        <w:rPr>
          <w:sz w:val="24"/>
          <w:szCs w:val="24"/>
        </w:rPr>
        <w:t>en casi</w:t>
      </w:r>
      <w:r w:rsidRPr="001D3810">
        <w:rPr>
          <w:sz w:val="24"/>
          <w:szCs w:val="24"/>
        </w:rPr>
        <w:t xml:space="preserve"> 1</w:t>
      </w:r>
      <w:r w:rsidR="00EF3B4E" w:rsidRPr="001D3810">
        <w:rPr>
          <w:sz w:val="24"/>
          <w:szCs w:val="24"/>
        </w:rPr>
        <w:t>2</w:t>
      </w:r>
      <w:r w:rsidRPr="001D3810">
        <w:rPr>
          <w:sz w:val="24"/>
          <w:szCs w:val="24"/>
        </w:rPr>
        <w:t xml:space="preserve"> puntos (del </w:t>
      </w:r>
      <w:r w:rsidR="00EF3B4E" w:rsidRPr="001D3810">
        <w:rPr>
          <w:sz w:val="24"/>
          <w:szCs w:val="24"/>
        </w:rPr>
        <w:t>3</w:t>
      </w:r>
      <w:r w:rsidRPr="001D3810">
        <w:rPr>
          <w:sz w:val="24"/>
          <w:szCs w:val="24"/>
        </w:rPr>
        <w:t>6,</w:t>
      </w:r>
      <w:r w:rsidR="00EF3B4E" w:rsidRPr="001D3810">
        <w:rPr>
          <w:sz w:val="24"/>
          <w:szCs w:val="24"/>
        </w:rPr>
        <w:t>26</w:t>
      </w:r>
      <w:r w:rsidRPr="001D3810">
        <w:rPr>
          <w:sz w:val="24"/>
          <w:szCs w:val="24"/>
        </w:rPr>
        <w:t xml:space="preserve">% al </w:t>
      </w:r>
      <w:r w:rsidR="00EF3B4E" w:rsidRPr="001D3810">
        <w:rPr>
          <w:sz w:val="24"/>
          <w:szCs w:val="24"/>
        </w:rPr>
        <w:t>24</w:t>
      </w:r>
      <w:r w:rsidRPr="001D3810">
        <w:rPr>
          <w:sz w:val="24"/>
          <w:szCs w:val="24"/>
        </w:rPr>
        <w:t>,</w:t>
      </w:r>
      <w:r w:rsidR="00EF3B4E" w:rsidRPr="001D3810">
        <w:rPr>
          <w:sz w:val="24"/>
          <w:szCs w:val="24"/>
        </w:rPr>
        <w:t>43</w:t>
      </w:r>
      <w:r w:rsidRPr="001D3810">
        <w:rPr>
          <w:sz w:val="24"/>
          <w:szCs w:val="24"/>
        </w:rPr>
        <w:t>%). Aunque también cae el paro porque</w:t>
      </w:r>
      <w:r w:rsidRPr="001D3810">
        <w:rPr>
          <w:b/>
          <w:sz w:val="24"/>
          <w:szCs w:val="24"/>
        </w:rPr>
        <w:t xml:space="preserve"> </w:t>
      </w:r>
      <w:r w:rsidRPr="001D3810">
        <w:rPr>
          <w:b/>
          <w:color w:val="4F6228" w:themeColor="accent3" w:themeShade="80"/>
          <w:sz w:val="24"/>
          <w:szCs w:val="24"/>
        </w:rPr>
        <w:t>se reduce la población activa, y en concreto, los activos jóvenes</w:t>
      </w:r>
      <w:r w:rsidRPr="001D3810">
        <w:rPr>
          <w:sz w:val="24"/>
          <w:szCs w:val="24"/>
        </w:rPr>
        <w:t>: en los últimos seis años se han perdido uno de cada cuatro activos menores de 35 años (-</w:t>
      </w:r>
      <w:r w:rsidR="00EF3B4E" w:rsidRPr="001D3810">
        <w:rPr>
          <w:sz w:val="24"/>
          <w:szCs w:val="24"/>
        </w:rPr>
        <w:t>230.000</w:t>
      </w:r>
      <w:r w:rsidRPr="001D3810">
        <w:rPr>
          <w:sz w:val="24"/>
          <w:szCs w:val="24"/>
        </w:rPr>
        <w:t>).</w:t>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Sin duda, la</w:t>
      </w:r>
      <w:r w:rsidRPr="001D3810">
        <w:rPr>
          <w:b/>
          <w:sz w:val="24"/>
          <w:szCs w:val="24"/>
        </w:rPr>
        <w:t xml:space="preserve"> </w:t>
      </w:r>
      <w:r w:rsidRPr="001D3810">
        <w:rPr>
          <w:b/>
          <w:color w:val="4F6228" w:themeColor="accent3" w:themeShade="80"/>
          <w:sz w:val="24"/>
          <w:szCs w:val="24"/>
        </w:rPr>
        <w:t>circunstancia más negativa del desempleo en España es el fuerte peso del paro de larga duración</w:t>
      </w:r>
      <w:r w:rsidRPr="001D3810">
        <w:rPr>
          <w:sz w:val="24"/>
          <w:szCs w:val="24"/>
        </w:rPr>
        <w:t xml:space="preserve">. Hay </w:t>
      </w:r>
      <w:r w:rsidR="00EF3B4E" w:rsidRPr="001D3810">
        <w:rPr>
          <w:sz w:val="24"/>
          <w:szCs w:val="24"/>
        </w:rPr>
        <w:t>500.000</w:t>
      </w:r>
      <w:r w:rsidRPr="001D3810">
        <w:rPr>
          <w:sz w:val="24"/>
          <w:szCs w:val="24"/>
        </w:rPr>
        <w:t xml:space="preserve"> personas que llevan más de un año en situación de desempleo, uno de cada dos. De ellos, 36</w:t>
      </w:r>
      <w:r w:rsidR="00EF3B4E" w:rsidRPr="001D3810">
        <w:rPr>
          <w:sz w:val="24"/>
          <w:szCs w:val="24"/>
        </w:rPr>
        <w:t>2</w:t>
      </w:r>
      <w:r w:rsidRPr="001D3810">
        <w:rPr>
          <w:sz w:val="24"/>
          <w:szCs w:val="24"/>
        </w:rPr>
        <w:t>.</w:t>
      </w:r>
      <w:r w:rsidR="00EF3B4E" w:rsidRPr="001D3810">
        <w:rPr>
          <w:sz w:val="24"/>
          <w:szCs w:val="24"/>
        </w:rPr>
        <w:t>000 llevan dos años o más (el 72</w:t>
      </w:r>
      <w:r w:rsidRPr="001D3810">
        <w:rPr>
          <w:sz w:val="24"/>
          <w:szCs w:val="24"/>
        </w:rPr>
        <w:t>% del total</w:t>
      </w:r>
      <w:r w:rsidR="00EF3B4E" w:rsidRPr="001D3810">
        <w:rPr>
          <w:sz w:val="24"/>
          <w:szCs w:val="24"/>
        </w:rPr>
        <w:t xml:space="preserve"> de parados de larga duración</w:t>
      </w:r>
      <w:r w:rsidRPr="001D3810">
        <w:rPr>
          <w:sz w:val="24"/>
          <w:szCs w:val="24"/>
        </w:rPr>
        <w:t xml:space="preserve">). Y también destaca negativamente la </w:t>
      </w:r>
      <w:r w:rsidRPr="001D3810">
        <w:rPr>
          <w:b/>
          <w:color w:val="4F6228" w:themeColor="accent3" w:themeShade="80"/>
          <w:sz w:val="24"/>
          <w:szCs w:val="24"/>
        </w:rPr>
        <w:t>elevada tasa de paro de los jóvenes</w:t>
      </w:r>
      <w:r w:rsidRPr="001D3810">
        <w:rPr>
          <w:sz w:val="24"/>
          <w:szCs w:val="24"/>
        </w:rPr>
        <w:t xml:space="preserve"> (</w:t>
      </w:r>
      <w:r w:rsidR="00EF3B4E" w:rsidRPr="001D3810">
        <w:rPr>
          <w:sz w:val="24"/>
          <w:szCs w:val="24"/>
        </w:rPr>
        <w:t>47,88</w:t>
      </w:r>
      <w:r w:rsidRPr="001D3810">
        <w:rPr>
          <w:sz w:val="24"/>
          <w:szCs w:val="24"/>
        </w:rPr>
        <w:t>%, la segunda más elevada de toda la Unión Europea), que supone una condena para la capacidad de desarrollo presente y futura del país.</w:t>
      </w:r>
    </w:p>
    <w:p w:rsidR="00F31C82" w:rsidRPr="001D3810" w:rsidRDefault="00F31C82" w:rsidP="00F31C82">
      <w:pPr>
        <w:spacing w:after="0" w:line="240" w:lineRule="auto"/>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Dos datos</w:t>
      </w:r>
      <w:r w:rsidR="00EF3B4E" w:rsidRPr="001D3810">
        <w:rPr>
          <w:sz w:val="24"/>
          <w:szCs w:val="24"/>
        </w:rPr>
        <w:t xml:space="preserve"> </w:t>
      </w:r>
      <w:r w:rsidRPr="001D3810">
        <w:rPr>
          <w:sz w:val="24"/>
          <w:szCs w:val="24"/>
        </w:rPr>
        <w:t xml:space="preserve">son relevantes para ilustrar la todavía muy elevada incidencia del desempleo en las familias. Aún hay </w:t>
      </w:r>
      <w:r w:rsidR="00EF3B4E" w:rsidRPr="001D3810">
        <w:rPr>
          <w:b/>
          <w:color w:val="4F6228" w:themeColor="accent3" w:themeShade="80"/>
          <w:sz w:val="24"/>
          <w:szCs w:val="24"/>
        </w:rPr>
        <w:t>3</w:t>
      </w:r>
      <w:r w:rsidRPr="001D3810">
        <w:rPr>
          <w:b/>
          <w:color w:val="4F6228" w:themeColor="accent3" w:themeShade="80"/>
          <w:sz w:val="24"/>
          <w:szCs w:val="24"/>
        </w:rPr>
        <w:t>1</w:t>
      </w:r>
      <w:r w:rsidR="00EF3B4E" w:rsidRPr="001D3810">
        <w:rPr>
          <w:b/>
          <w:color w:val="4F6228" w:themeColor="accent3" w:themeShade="80"/>
          <w:sz w:val="24"/>
          <w:szCs w:val="24"/>
        </w:rPr>
        <w:t>2</w:t>
      </w:r>
      <w:r w:rsidRPr="001D3810">
        <w:rPr>
          <w:b/>
          <w:color w:val="4F6228" w:themeColor="accent3" w:themeShade="80"/>
          <w:sz w:val="24"/>
          <w:szCs w:val="24"/>
        </w:rPr>
        <w:t>.</w:t>
      </w:r>
      <w:r w:rsidR="00463AFC" w:rsidRPr="001D3810">
        <w:rPr>
          <w:b/>
          <w:color w:val="4F6228" w:themeColor="accent3" w:themeShade="80"/>
          <w:sz w:val="24"/>
          <w:szCs w:val="24"/>
        </w:rPr>
        <w:t>1</w:t>
      </w:r>
      <w:r w:rsidRPr="001D3810">
        <w:rPr>
          <w:b/>
          <w:color w:val="4F6228" w:themeColor="accent3" w:themeShade="80"/>
          <w:sz w:val="24"/>
          <w:szCs w:val="24"/>
        </w:rPr>
        <w:t>00</w:t>
      </w:r>
      <w:r w:rsidRPr="001D3810">
        <w:rPr>
          <w:b/>
          <w:sz w:val="24"/>
          <w:szCs w:val="24"/>
        </w:rPr>
        <w:t xml:space="preserve"> </w:t>
      </w:r>
      <w:r w:rsidRPr="001D3810">
        <w:rPr>
          <w:sz w:val="24"/>
          <w:szCs w:val="24"/>
        </w:rPr>
        <w:t>hogares con todos</w:t>
      </w:r>
      <w:r w:rsidRPr="001D3810">
        <w:rPr>
          <w:b/>
          <w:sz w:val="24"/>
          <w:szCs w:val="24"/>
        </w:rPr>
        <w:t xml:space="preserve"> </w:t>
      </w:r>
      <w:r w:rsidRPr="001D3810">
        <w:rPr>
          <w:b/>
          <w:color w:val="4F6228" w:themeColor="accent3" w:themeShade="80"/>
          <w:sz w:val="24"/>
          <w:szCs w:val="24"/>
        </w:rPr>
        <w:t xml:space="preserve">sus miembros en situación de desempleo y </w:t>
      </w:r>
      <w:r w:rsidR="00463AFC" w:rsidRPr="001D3810">
        <w:rPr>
          <w:b/>
          <w:color w:val="4F6228" w:themeColor="accent3" w:themeShade="80"/>
          <w:sz w:val="24"/>
          <w:szCs w:val="24"/>
        </w:rPr>
        <w:t>290</w:t>
      </w:r>
      <w:r w:rsidRPr="001D3810">
        <w:rPr>
          <w:b/>
          <w:color w:val="4F6228" w:themeColor="accent3" w:themeShade="80"/>
          <w:sz w:val="24"/>
          <w:szCs w:val="24"/>
        </w:rPr>
        <w:t>.</w:t>
      </w:r>
      <w:r w:rsidR="00463AFC" w:rsidRPr="001D3810">
        <w:rPr>
          <w:b/>
          <w:color w:val="4F6228" w:themeColor="accent3" w:themeShade="80"/>
          <w:sz w:val="24"/>
          <w:szCs w:val="24"/>
        </w:rPr>
        <w:t>5</w:t>
      </w:r>
      <w:r w:rsidRPr="001D3810">
        <w:rPr>
          <w:b/>
          <w:color w:val="4F6228" w:themeColor="accent3" w:themeShade="80"/>
          <w:sz w:val="24"/>
          <w:szCs w:val="24"/>
        </w:rPr>
        <w:t>00 que no perciben ninguna renta</w:t>
      </w:r>
      <w:r w:rsidRPr="001D3810">
        <w:rPr>
          <w:b/>
          <w:sz w:val="24"/>
          <w:szCs w:val="24"/>
        </w:rPr>
        <w:t xml:space="preserve">, </w:t>
      </w:r>
      <w:r w:rsidR="00463AFC" w:rsidRPr="001D3810">
        <w:rPr>
          <w:sz w:val="24"/>
          <w:szCs w:val="24"/>
        </w:rPr>
        <w:t>1</w:t>
      </w:r>
      <w:r w:rsidRPr="001D3810">
        <w:rPr>
          <w:sz w:val="24"/>
          <w:szCs w:val="24"/>
        </w:rPr>
        <w:t>7</w:t>
      </w:r>
      <w:r w:rsidR="00463AFC" w:rsidRPr="001D3810">
        <w:rPr>
          <w:sz w:val="24"/>
          <w:szCs w:val="24"/>
        </w:rPr>
        <w:t>2</w:t>
      </w:r>
      <w:r w:rsidRPr="001D3810">
        <w:rPr>
          <w:sz w:val="24"/>
          <w:szCs w:val="24"/>
        </w:rPr>
        <w:t>.800 y 20</w:t>
      </w:r>
      <w:r w:rsidR="00463AFC" w:rsidRPr="001D3810">
        <w:rPr>
          <w:sz w:val="24"/>
          <w:szCs w:val="24"/>
        </w:rPr>
        <w:t>4</w:t>
      </w:r>
      <w:r w:rsidRPr="001D3810">
        <w:rPr>
          <w:sz w:val="24"/>
          <w:szCs w:val="24"/>
        </w:rPr>
        <w:t>.</w:t>
      </w:r>
      <w:r w:rsidR="00463AFC" w:rsidRPr="001D3810">
        <w:rPr>
          <w:sz w:val="24"/>
          <w:szCs w:val="24"/>
        </w:rPr>
        <w:t>5</w:t>
      </w:r>
      <w:r w:rsidRPr="001D3810">
        <w:rPr>
          <w:sz w:val="24"/>
          <w:szCs w:val="24"/>
        </w:rPr>
        <w:t>00 más, respectivamente, de los que había antes del impacto de la crisis. Los datos muestran cómo la implementación de las políticas de austeridad de 2010 a 2013, lejos de ayudar a reconducir el problema, lo agravaron</w:t>
      </w:r>
      <w:r w:rsidRPr="001D3810">
        <w:rPr>
          <w:i/>
          <w:sz w:val="24"/>
          <w:szCs w:val="24"/>
        </w:rPr>
        <w:t>.</w:t>
      </w:r>
    </w:p>
    <w:p w:rsidR="00F31C82" w:rsidRPr="001D3810" w:rsidRDefault="00F31C82" w:rsidP="00F31C82">
      <w:pPr>
        <w:spacing w:after="0" w:line="240" w:lineRule="auto"/>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El elevado y persistente nivel de desempleo, la reducción presupuestaria en las políticas activas de empleo desde 2011 y su ineficacia, y el recorte de prestaciones del gobierno del PP han provocado una </w:t>
      </w:r>
      <w:r w:rsidRPr="001D3810">
        <w:rPr>
          <w:b/>
          <w:color w:val="4F6228" w:themeColor="accent3" w:themeShade="80"/>
          <w:sz w:val="24"/>
          <w:szCs w:val="24"/>
        </w:rPr>
        <w:t>fuerte caída de su cobertura</w:t>
      </w:r>
      <w:r w:rsidRPr="001D3810">
        <w:rPr>
          <w:sz w:val="24"/>
          <w:szCs w:val="24"/>
        </w:rPr>
        <w:t xml:space="preserve"> (</w:t>
      </w:r>
      <w:r w:rsidR="00463AFC" w:rsidRPr="001D3810">
        <w:rPr>
          <w:sz w:val="24"/>
          <w:szCs w:val="24"/>
        </w:rPr>
        <w:t>6</w:t>
      </w:r>
      <w:r w:rsidRPr="001D3810">
        <w:rPr>
          <w:sz w:val="24"/>
          <w:szCs w:val="24"/>
        </w:rPr>
        <w:t>5,</w:t>
      </w:r>
      <w:r w:rsidR="00463AFC" w:rsidRPr="001D3810">
        <w:rPr>
          <w:sz w:val="24"/>
          <w:szCs w:val="24"/>
        </w:rPr>
        <w:t>27</w:t>
      </w:r>
      <w:r w:rsidRPr="001D3810">
        <w:rPr>
          <w:sz w:val="24"/>
          <w:szCs w:val="24"/>
        </w:rPr>
        <w:t>% de los parados registrados, 2</w:t>
      </w:r>
      <w:r w:rsidR="00463AFC" w:rsidRPr="001D3810">
        <w:rPr>
          <w:sz w:val="24"/>
          <w:szCs w:val="24"/>
        </w:rPr>
        <w:t>0</w:t>
      </w:r>
      <w:r w:rsidRPr="001D3810">
        <w:rPr>
          <w:sz w:val="24"/>
          <w:szCs w:val="24"/>
        </w:rPr>
        <w:t xml:space="preserve"> puntos menos que en enero de 2010), que es </w:t>
      </w:r>
      <w:r w:rsidRPr="001D3810">
        <w:rPr>
          <w:b/>
          <w:sz w:val="24"/>
          <w:szCs w:val="24"/>
        </w:rPr>
        <w:t xml:space="preserve">una de las </w:t>
      </w:r>
      <w:r w:rsidRPr="001D3810">
        <w:rPr>
          <w:b/>
          <w:color w:val="4F6228" w:themeColor="accent3" w:themeShade="80"/>
          <w:sz w:val="24"/>
          <w:szCs w:val="24"/>
        </w:rPr>
        <w:t xml:space="preserve">causantes del aumento de los niveles de pobreza y de exclusión social en </w:t>
      </w:r>
      <w:r w:rsidR="008926C5" w:rsidRPr="001D3810">
        <w:rPr>
          <w:b/>
          <w:color w:val="4F6228" w:themeColor="accent3" w:themeShade="80"/>
          <w:sz w:val="24"/>
          <w:szCs w:val="24"/>
        </w:rPr>
        <w:t>Andalucía</w:t>
      </w:r>
      <w:r w:rsidRPr="001D3810">
        <w:rPr>
          <w:b/>
          <w:color w:val="4F6228" w:themeColor="accent3" w:themeShade="80"/>
          <w:sz w:val="24"/>
          <w:szCs w:val="24"/>
        </w:rPr>
        <w:t xml:space="preserve"> en los últimos años</w:t>
      </w:r>
      <w:r w:rsidRPr="001D3810">
        <w:rPr>
          <w:b/>
          <w:sz w:val="24"/>
          <w:szCs w:val="24"/>
        </w:rPr>
        <w:t>.</w:t>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color w:val="4F6228" w:themeColor="accent3" w:themeShade="80"/>
          <w:sz w:val="24"/>
          <w:szCs w:val="24"/>
        </w:rPr>
      </w:pPr>
      <w:r w:rsidRPr="001D3810">
        <w:rPr>
          <w:sz w:val="24"/>
          <w:szCs w:val="24"/>
        </w:rPr>
        <w:t xml:space="preserve">Y </w:t>
      </w:r>
      <w:r w:rsidRPr="001D3810">
        <w:rPr>
          <w:b/>
          <w:color w:val="4F6228" w:themeColor="accent3" w:themeShade="80"/>
          <w:sz w:val="24"/>
          <w:szCs w:val="24"/>
        </w:rPr>
        <w:t>otra de las causas ha sido la caída salarial que se ha producido desde 2009, más de 7 puntos porcentuales de media hasta 2017</w:t>
      </w:r>
      <w:r w:rsidR="00463AFC" w:rsidRPr="001D3810">
        <w:rPr>
          <w:b/>
          <w:color w:val="4F6228" w:themeColor="accent3" w:themeShade="80"/>
          <w:sz w:val="24"/>
          <w:szCs w:val="24"/>
        </w:rPr>
        <w:t xml:space="preserve"> a nivel estatal</w:t>
      </w:r>
      <w:r w:rsidRPr="001D3810">
        <w:rPr>
          <w:sz w:val="24"/>
          <w:szCs w:val="24"/>
        </w:rPr>
        <w:t xml:space="preserve">. Incluso en este último año, cuarto consecutivo en expansión económica, </w:t>
      </w:r>
      <w:r w:rsidRPr="001D3810">
        <w:rPr>
          <w:b/>
          <w:color w:val="4F6228" w:themeColor="accent3" w:themeShade="80"/>
          <w:sz w:val="24"/>
          <w:szCs w:val="24"/>
        </w:rPr>
        <w:t>los salarios han perdido dos puntos de poder adquisitivo, lo que resulta una anomalía histórica y una injusta perversión del sistema de determinación de rentas</w:t>
      </w:r>
      <w:r w:rsidRPr="001D3810">
        <w:rPr>
          <w:color w:val="4F6228" w:themeColor="accent3" w:themeShade="80"/>
          <w:sz w:val="24"/>
          <w:szCs w:val="24"/>
        </w:rPr>
        <w:t xml:space="preserve">. </w:t>
      </w:r>
    </w:p>
    <w:p w:rsidR="00F31C82" w:rsidRPr="001D3810" w:rsidRDefault="00F31C82" w:rsidP="00F31C82">
      <w:pPr>
        <w:pStyle w:val="Prrafodelista"/>
        <w:rPr>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Esta contracción de los salarios reales ha sido –y aún es- el resultado de una estrategia deliberada, dirigida a abaratar los costes laborales a las empresas, y que en España </w:t>
      </w:r>
      <w:r w:rsidRPr="001D3810">
        <w:rPr>
          <w:b/>
          <w:color w:val="4F6228" w:themeColor="accent3" w:themeShade="80"/>
          <w:sz w:val="24"/>
          <w:szCs w:val="24"/>
        </w:rPr>
        <w:t>ha tenido como principal instrumento para aplicarla la reforma laboral de 2012</w:t>
      </w:r>
      <w:r w:rsidRPr="001D3810">
        <w:rPr>
          <w:color w:val="4F6228" w:themeColor="accent3" w:themeShade="80"/>
          <w:sz w:val="24"/>
          <w:szCs w:val="24"/>
        </w:rPr>
        <w:t>,</w:t>
      </w:r>
      <w:r w:rsidRPr="001D3810">
        <w:rPr>
          <w:sz w:val="24"/>
          <w:szCs w:val="24"/>
        </w:rPr>
        <w:t xml:space="preserve"> que desequilibró de manera determinante la negociación colectiva en favor de las empresas. Además, </w:t>
      </w:r>
      <w:r w:rsidRPr="001D3810">
        <w:rPr>
          <w:b/>
          <w:color w:val="4F6228" w:themeColor="accent3" w:themeShade="80"/>
          <w:sz w:val="24"/>
          <w:szCs w:val="24"/>
        </w:rPr>
        <w:t>han sido los trabajadores y trabajadoras con menores rentas los que han sufrido en mayor medida la caída de los salarios reales:</w:t>
      </w:r>
      <w:r w:rsidRPr="001D3810">
        <w:rPr>
          <w:color w:val="4F6228" w:themeColor="accent3" w:themeShade="80"/>
          <w:sz w:val="24"/>
          <w:szCs w:val="24"/>
        </w:rPr>
        <w:t xml:space="preserve"> </w:t>
      </w:r>
      <w:r w:rsidRPr="001D3810">
        <w:rPr>
          <w:sz w:val="24"/>
          <w:szCs w:val="24"/>
        </w:rPr>
        <w:t>para el 10% de trabajadores que tiene menores retribuciones han descendido de 2009 a 2016 un 13,8%.</w:t>
      </w:r>
    </w:p>
    <w:p w:rsidR="00FF0FF5" w:rsidRPr="001D3810" w:rsidRDefault="00FF0FF5">
      <w:pPr>
        <w:rPr>
          <w:sz w:val="24"/>
          <w:szCs w:val="24"/>
        </w:rPr>
      </w:pPr>
      <w:r w:rsidRPr="001D3810">
        <w:rPr>
          <w:sz w:val="24"/>
          <w:szCs w:val="24"/>
        </w:rPr>
        <w:br w:type="page"/>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spacing w:after="0" w:line="240" w:lineRule="auto"/>
        <w:ind w:left="284" w:hanging="284"/>
        <w:jc w:val="both"/>
        <w:rPr>
          <w:b/>
          <w:sz w:val="24"/>
          <w:szCs w:val="24"/>
        </w:rPr>
      </w:pPr>
      <w:r w:rsidRPr="001D3810">
        <w:rPr>
          <w:sz w:val="24"/>
          <w:szCs w:val="24"/>
        </w:rPr>
        <w:t xml:space="preserve">En conjunto, </w:t>
      </w:r>
      <w:r w:rsidRPr="001D3810">
        <w:rPr>
          <w:b/>
          <w:color w:val="4F6228" w:themeColor="accent3" w:themeShade="80"/>
          <w:sz w:val="24"/>
          <w:szCs w:val="24"/>
        </w:rPr>
        <w:t>se ha producido un fuerte trasvase de rentas de los asalariados a las empresas.</w:t>
      </w:r>
      <w:r w:rsidRPr="001D3810">
        <w:rPr>
          <w:b/>
          <w:sz w:val="24"/>
          <w:szCs w:val="24"/>
        </w:rPr>
        <w:t xml:space="preserve"> </w:t>
      </w:r>
      <w:r w:rsidRPr="001D3810">
        <w:rPr>
          <w:sz w:val="24"/>
          <w:szCs w:val="24"/>
        </w:rPr>
        <w:t xml:space="preserve">De </w:t>
      </w:r>
      <w:r w:rsidRPr="001D3810">
        <w:rPr>
          <w:rFonts w:ascii="Calibri" w:eastAsia="Times New Roman" w:hAnsi="Calibri" w:cs="Times New Roman"/>
          <w:sz w:val="24"/>
          <w:lang w:eastAsia="es-ES"/>
        </w:rPr>
        <w:t>2008 a 2016 las rentas de los asalariados han caído en 26.900 millones de euros, mientras que los excedentes empresariales han aumentado en 5.900 millones de euros. En el caso de las</w:t>
      </w:r>
      <w:r w:rsidRPr="001D3810">
        <w:rPr>
          <w:rFonts w:ascii="Calibri" w:eastAsia="Times New Roman" w:hAnsi="Calibri" w:cs="Times New Roman"/>
          <w:b/>
          <w:sz w:val="24"/>
          <w:lang w:eastAsia="es-ES"/>
        </w:rPr>
        <w:t xml:space="preserve"> </w:t>
      </w:r>
      <w:r w:rsidRPr="001D3810">
        <w:rPr>
          <w:rFonts w:ascii="Calibri" w:eastAsia="Times New Roman" w:hAnsi="Calibri" w:cs="Times New Roman"/>
          <w:b/>
          <w:color w:val="4F6228" w:themeColor="accent3" w:themeShade="80"/>
          <w:sz w:val="24"/>
          <w:lang w:eastAsia="es-ES"/>
        </w:rPr>
        <w:t>sociedades no financieras</w:t>
      </w:r>
      <w:r w:rsidRPr="001D3810">
        <w:rPr>
          <w:rFonts w:ascii="Calibri" w:eastAsia="Times New Roman" w:hAnsi="Calibri" w:cs="Times New Roman"/>
          <w:b/>
          <w:sz w:val="24"/>
          <w:lang w:eastAsia="es-ES"/>
        </w:rPr>
        <w:t xml:space="preserve">, </w:t>
      </w:r>
      <w:r w:rsidRPr="001D3810">
        <w:rPr>
          <w:rFonts w:ascii="Calibri" w:eastAsia="Times New Roman" w:hAnsi="Calibri" w:cs="Times New Roman"/>
          <w:sz w:val="24"/>
          <w:lang w:eastAsia="es-ES"/>
        </w:rPr>
        <w:t>en el mismo período los salarios cayeron en 25.300 millones de euros, y los beneficios empresariales aumentaron en 21.900 millones</w:t>
      </w:r>
    </w:p>
    <w:p w:rsidR="00F31C82" w:rsidRPr="001D3810" w:rsidRDefault="00F31C82" w:rsidP="00F31C82">
      <w:pPr>
        <w:pStyle w:val="Prrafodelista"/>
        <w:rPr>
          <w:b/>
          <w:sz w:val="24"/>
          <w:szCs w:val="24"/>
        </w:rPr>
      </w:pPr>
    </w:p>
    <w:p w:rsidR="00463AFC" w:rsidRPr="001D3810" w:rsidRDefault="00F31C82" w:rsidP="00F31C82">
      <w:pPr>
        <w:pStyle w:val="Prrafodelista"/>
        <w:numPr>
          <w:ilvl w:val="0"/>
          <w:numId w:val="17"/>
        </w:numPr>
        <w:spacing w:after="0" w:line="240" w:lineRule="auto"/>
        <w:ind w:left="284" w:hanging="284"/>
        <w:jc w:val="both"/>
        <w:rPr>
          <w:color w:val="4F6228" w:themeColor="accent3" w:themeShade="80"/>
          <w:sz w:val="24"/>
          <w:szCs w:val="24"/>
        </w:rPr>
      </w:pPr>
      <w:r w:rsidRPr="001D3810">
        <w:rPr>
          <w:sz w:val="24"/>
          <w:szCs w:val="24"/>
        </w:rPr>
        <w:t xml:space="preserve">Se han iniciado recientemente las conversaciones entre las organizaciones sindicales y empresariales para intentar consensuar unos criterios salariales comunes para 2018 y años siguientes, como parte de un posible </w:t>
      </w:r>
      <w:r w:rsidRPr="001D3810">
        <w:rPr>
          <w:b/>
          <w:i/>
          <w:color w:val="4F6228" w:themeColor="accent3" w:themeShade="80"/>
          <w:sz w:val="24"/>
          <w:szCs w:val="24"/>
        </w:rPr>
        <w:t>IV Acuerdo para el Empleo y la Negociación Colectiva</w:t>
      </w:r>
      <w:r w:rsidRPr="001D3810">
        <w:rPr>
          <w:b/>
          <w:color w:val="4F6228" w:themeColor="accent3" w:themeShade="80"/>
          <w:sz w:val="24"/>
          <w:szCs w:val="24"/>
        </w:rPr>
        <w:t xml:space="preserve"> (</w:t>
      </w:r>
      <w:r w:rsidRPr="001D3810">
        <w:rPr>
          <w:b/>
          <w:i/>
          <w:color w:val="4F6228" w:themeColor="accent3" w:themeShade="80"/>
          <w:sz w:val="24"/>
          <w:szCs w:val="24"/>
        </w:rPr>
        <w:t>AENC</w:t>
      </w:r>
      <w:r w:rsidRPr="001D3810">
        <w:rPr>
          <w:b/>
          <w:color w:val="4F6228" w:themeColor="accent3" w:themeShade="80"/>
          <w:sz w:val="24"/>
          <w:szCs w:val="24"/>
        </w:rPr>
        <w:t>).</w:t>
      </w:r>
    </w:p>
    <w:p w:rsidR="00463AFC" w:rsidRPr="001D3810" w:rsidRDefault="00463AFC" w:rsidP="00463AFC">
      <w:pPr>
        <w:pStyle w:val="Prrafodelista"/>
        <w:rPr>
          <w:sz w:val="24"/>
          <w:szCs w:val="24"/>
        </w:rPr>
      </w:pPr>
    </w:p>
    <w:p w:rsidR="00F31C82" w:rsidRPr="001D3810" w:rsidRDefault="00F31C82" w:rsidP="00F31C82">
      <w:pPr>
        <w:pStyle w:val="Prrafodelista"/>
        <w:numPr>
          <w:ilvl w:val="0"/>
          <w:numId w:val="17"/>
        </w:numPr>
        <w:spacing w:after="0" w:line="240" w:lineRule="auto"/>
        <w:ind w:left="284" w:hanging="284"/>
        <w:jc w:val="both"/>
        <w:rPr>
          <w:color w:val="4F6228" w:themeColor="accent3" w:themeShade="80"/>
          <w:sz w:val="24"/>
          <w:szCs w:val="24"/>
        </w:rPr>
      </w:pPr>
      <w:r w:rsidRPr="001D3810">
        <w:rPr>
          <w:sz w:val="24"/>
          <w:szCs w:val="24"/>
        </w:rPr>
        <w:t xml:space="preserve">Con el objetivo de que los asalariados y asalariadas participen de los frutos de la actividad que ayudan a generar y ganen poder de compra, </w:t>
      </w:r>
      <w:r w:rsidRPr="001D3810">
        <w:rPr>
          <w:b/>
          <w:color w:val="4F6228" w:themeColor="accent3" w:themeShade="80"/>
          <w:sz w:val="24"/>
          <w:szCs w:val="24"/>
        </w:rPr>
        <w:t>UGT y CCOO proponen aumentos particularizados en cada ámbito de negociación, basados en la suma de dos referencias: de un lado, la productividad nominal prevista</w:t>
      </w:r>
      <w:r w:rsidRPr="001D3810">
        <w:rPr>
          <w:b/>
          <w:sz w:val="24"/>
          <w:szCs w:val="24"/>
        </w:rPr>
        <w:t xml:space="preserve"> </w:t>
      </w:r>
      <w:r w:rsidRPr="001D3810">
        <w:rPr>
          <w:sz w:val="24"/>
          <w:szCs w:val="24"/>
        </w:rPr>
        <w:t>(con un suelo de aumento situado en la previsión de inflación)</w:t>
      </w:r>
      <w:r w:rsidRPr="001D3810">
        <w:rPr>
          <w:b/>
          <w:sz w:val="24"/>
          <w:szCs w:val="24"/>
        </w:rPr>
        <w:t xml:space="preserve">; </w:t>
      </w:r>
      <w:r w:rsidRPr="001D3810">
        <w:rPr>
          <w:b/>
          <w:color w:val="4F6228" w:themeColor="accent3" w:themeShade="80"/>
          <w:sz w:val="24"/>
          <w:szCs w:val="24"/>
        </w:rPr>
        <w:t>de otro, un aumento extraordinario para recuperar parte del poder de compra perdido desde el inicio de la crisis, que para 2018 han situado en el 1,5%. Incluyendo también cláusulas de revisión salarial.</w:t>
      </w:r>
    </w:p>
    <w:p w:rsidR="00F31C82" w:rsidRPr="001D3810" w:rsidRDefault="00F31C82" w:rsidP="00F31C82">
      <w:pPr>
        <w:spacing w:after="0" w:line="240" w:lineRule="auto"/>
        <w:jc w:val="both"/>
        <w:rPr>
          <w:b/>
          <w:sz w:val="24"/>
          <w:szCs w:val="24"/>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sz w:val="24"/>
          <w:szCs w:val="24"/>
        </w:rPr>
        <w:t xml:space="preserve">Además, ambos sindicatos proponen aumentar sobre todo los salarios más bajos, para lo que plantean esencialmente que </w:t>
      </w:r>
      <w:r w:rsidRPr="001D3810">
        <w:rPr>
          <w:b/>
          <w:color w:val="4F6228" w:themeColor="accent3" w:themeShade="80"/>
          <w:sz w:val="24"/>
          <w:szCs w:val="24"/>
        </w:rPr>
        <w:t>el salario garantizado de convenio no sea inferior en ningún caso a 1.000 euros brutos al mes.</w:t>
      </w:r>
      <w:r w:rsidRPr="001D3810">
        <w:rPr>
          <w:b/>
          <w:sz w:val="24"/>
          <w:szCs w:val="24"/>
        </w:rPr>
        <w:t xml:space="preserve"> </w:t>
      </w:r>
      <w:r w:rsidRPr="001D3810">
        <w:rPr>
          <w:sz w:val="24"/>
          <w:szCs w:val="24"/>
        </w:rPr>
        <w:t>Las organizaciones empresariales no han explicitado aún su propuesta en materia salarial.</w:t>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numPr>
          <w:ilvl w:val="0"/>
          <w:numId w:val="17"/>
        </w:numPr>
        <w:tabs>
          <w:tab w:val="left" w:pos="993"/>
        </w:tabs>
        <w:spacing w:after="0" w:line="240" w:lineRule="auto"/>
        <w:ind w:left="284" w:hanging="284"/>
        <w:jc w:val="both"/>
        <w:rPr>
          <w:rFonts w:cs="Arial"/>
          <w:color w:val="4F6228" w:themeColor="accent3" w:themeShade="80"/>
          <w:sz w:val="24"/>
          <w:szCs w:val="24"/>
        </w:rPr>
      </w:pPr>
      <w:r w:rsidRPr="001D3810">
        <w:rPr>
          <w:rFonts w:cs="Arial"/>
          <w:sz w:val="24"/>
          <w:szCs w:val="24"/>
        </w:rPr>
        <w:t xml:space="preserve">La actual fase expansiva está volviendo a poner de relieve la </w:t>
      </w:r>
      <w:r w:rsidRPr="001D3810">
        <w:rPr>
          <w:rFonts w:cs="Arial"/>
          <w:b/>
          <w:color w:val="4F6228" w:themeColor="accent3" w:themeShade="80"/>
          <w:sz w:val="24"/>
          <w:szCs w:val="24"/>
        </w:rPr>
        <w:t>peor situación comparada en el mercado laboral de las mujeres respecto de los hombres</w:t>
      </w:r>
      <w:r w:rsidRPr="001D3810">
        <w:rPr>
          <w:rFonts w:cs="Arial"/>
          <w:sz w:val="24"/>
          <w:szCs w:val="24"/>
        </w:rPr>
        <w:t>. La población activa femenina se está contrayendo, lo que resulta un fenómeno novedoso en nuestra economía; la creación de empleo y la reducción del desem</w:t>
      </w:r>
      <w:r w:rsidR="00463AFC" w:rsidRPr="001D3810">
        <w:rPr>
          <w:rFonts w:cs="Arial"/>
          <w:sz w:val="24"/>
          <w:szCs w:val="24"/>
        </w:rPr>
        <w:t>pleo es mayor para los hombres</w:t>
      </w:r>
      <w:r w:rsidRPr="001D3810">
        <w:rPr>
          <w:rFonts w:cs="Arial"/>
          <w:sz w:val="24"/>
          <w:szCs w:val="24"/>
        </w:rPr>
        <w:t>; el empleo generado para las mujeres en más temporal que el de los hombres; las mujeres siguen siendo las que de manera muy mayoritaria ocupan empleos a tiempo parcial (el 7</w:t>
      </w:r>
      <w:r w:rsidR="00463AFC" w:rsidRPr="001D3810">
        <w:rPr>
          <w:rFonts w:cs="Arial"/>
          <w:sz w:val="24"/>
          <w:szCs w:val="24"/>
        </w:rPr>
        <w:t>2</w:t>
      </w:r>
      <w:r w:rsidRPr="001D3810">
        <w:rPr>
          <w:rFonts w:cs="Arial"/>
          <w:sz w:val="24"/>
          <w:szCs w:val="24"/>
        </w:rPr>
        <w:t>,</w:t>
      </w:r>
      <w:r w:rsidR="00463AFC" w:rsidRPr="001D3810">
        <w:rPr>
          <w:rFonts w:cs="Arial"/>
          <w:sz w:val="24"/>
          <w:szCs w:val="24"/>
        </w:rPr>
        <w:t>48</w:t>
      </w:r>
      <w:r w:rsidRPr="001D3810">
        <w:rPr>
          <w:rFonts w:cs="Arial"/>
          <w:sz w:val="24"/>
          <w:szCs w:val="24"/>
        </w:rPr>
        <w:t>%</w:t>
      </w:r>
      <w:r w:rsidR="00463AFC" w:rsidRPr="001D3810">
        <w:rPr>
          <w:rFonts w:cs="Arial"/>
          <w:sz w:val="24"/>
          <w:szCs w:val="24"/>
        </w:rPr>
        <w:t>); la tasa de paro femenina es 6</w:t>
      </w:r>
      <w:r w:rsidRPr="001D3810">
        <w:rPr>
          <w:rFonts w:cs="Arial"/>
          <w:sz w:val="24"/>
          <w:szCs w:val="24"/>
        </w:rPr>
        <w:t>,</w:t>
      </w:r>
      <w:r w:rsidR="00463AFC" w:rsidRPr="001D3810">
        <w:rPr>
          <w:rFonts w:cs="Arial"/>
          <w:sz w:val="24"/>
          <w:szCs w:val="24"/>
        </w:rPr>
        <w:t>2</w:t>
      </w:r>
      <w:r w:rsidRPr="001D3810">
        <w:rPr>
          <w:rFonts w:cs="Arial"/>
          <w:sz w:val="24"/>
          <w:szCs w:val="24"/>
        </w:rPr>
        <w:t xml:space="preserve"> puntos superior a la masculina (aunque se ha estabilizado en los dos últimos años); y </w:t>
      </w:r>
      <w:r w:rsidRPr="001D3810">
        <w:rPr>
          <w:rFonts w:cs="Arial"/>
          <w:b/>
          <w:color w:val="4F6228" w:themeColor="accent3" w:themeShade="80"/>
          <w:sz w:val="24"/>
          <w:szCs w:val="24"/>
        </w:rPr>
        <w:t xml:space="preserve">la brecha salarial </w:t>
      </w:r>
      <w:r w:rsidR="00463AFC" w:rsidRPr="001D3810">
        <w:rPr>
          <w:rFonts w:cs="Arial"/>
          <w:b/>
          <w:color w:val="4F6228" w:themeColor="accent3" w:themeShade="80"/>
          <w:sz w:val="24"/>
          <w:szCs w:val="24"/>
        </w:rPr>
        <w:t xml:space="preserve">estatal </w:t>
      </w:r>
      <w:r w:rsidRPr="001D3810">
        <w:rPr>
          <w:rFonts w:cs="Arial"/>
          <w:b/>
          <w:color w:val="4F6228" w:themeColor="accent3" w:themeShade="80"/>
          <w:sz w:val="24"/>
          <w:szCs w:val="24"/>
        </w:rPr>
        <w:t>sigue siendo muy elevada (2</w:t>
      </w:r>
      <w:r w:rsidR="0016516C" w:rsidRPr="001D3810">
        <w:rPr>
          <w:rFonts w:cs="Arial"/>
          <w:b/>
          <w:color w:val="4F6228" w:themeColor="accent3" w:themeShade="80"/>
          <w:sz w:val="24"/>
          <w:szCs w:val="24"/>
        </w:rPr>
        <w:t>4</w:t>
      </w:r>
      <w:r w:rsidRPr="001D3810">
        <w:rPr>
          <w:rFonts w:cs="Arial"/>
          <w:b/>
          <w:color w:val="4F6228" w:themeColor="accent3" w:themeShade="80"/>
          <w:sz w:val="24"/>
          <w:szCs w:val="24"/>
        </w:rPr>
        <w:t>,</w:t>
      </w:r>
      <w:r w:rsidR="0016516C" w:rsidRPr="001D3810">
        <w:rPr>
          <w:rFonts w:cs="Arial"/>
          <w:b/>
          <w:color w:val="4F6228" w:themeColor="accent3" w:themeShade="80"/>
          <w:sz w:val="24"/>
          <w:szCs w:val="24"/>
        </w:rPr>
        <w:t>21</w:t>
      </w:r>
      <w:r w:rsidRPr="001D3810">
        <w:rPr>
          <w:rFonts w:cs="Arial"/>
          <w:b/>
          <w:color w:val="4F6228" w:themeColor="accent3" w:themeShade="80"/>
          <w:sz w:val="24"/>
          <w:szCs w:val="24"/>
        </w:rPr>
        <w:t>%),</w:t>
      </w:r>
      <w:r w:rsidRPr="001D3810">
        <w:rPr>
          <w:rFonts w:cs="Arial"/>
          <w:b/>
          <w:sz w:val="24"/>
          <w:szCs w:val="24"/>
        </w:rPr>
        <w:t xml:space="preserve"> </w:t>
      </w:r>
      <w:r w:rsidRPr="001D3810">
        <w:rPr>
          <w:rFonts w:cs="Arial"/>
          <w:sz w:val="24"/>
          <w:szCs w:val="24"/>
        </w:rPr>
        <w:t>reflejando no solo</w:t>
      </w:r>
      <w:r w:rsidR="00463AFC" w:rsidRPr="001D3810">
        <w:rPr>
          <w:rFonts w:cs="Arial"/>
          <w:sz w:val="24"/>
          <w:szCs w:val="24"/>
        </w:rPr>
        <w:t xml:space="preserve"> </w:t>
      </w:r>
      <w:r w:rsidRPr="001D3810">
        <w:rPr>
          <w:rFonts w:cs="Arial"/>
          <w:sz w:val="24"/>
          <w:szCs w:val="24"/>
        </w:rPr>
        <w:t xml:space="preserve">una distribución ocupacional diferente, sino la </w:t>
      </w:r>
      <w:r w:rsidRPr="001D3810">
        <w:rPr>
          <w:rFonts w:cs="Arial"/>
          <w:b/>
          <w:color w:val="4F6228" w:themeColor="accent3" w:themeShade="80"/>
          <w:sz w:val="24"/>
          <w:szCs w:val="24"/>
        </w:rPr>
        <w:t>persistencia de discriminaciones inaceptables</w:t>
      </w:r>
      <w:r w:rsidRPr="001D3810">
        <w:rPr>
          <w:rFonts w:cs="Arial"/>
          <w:color w:val="4F6228" w:themeColor="accent3" w:themeShade="80"/>
          <w:sz w:val="24"/>
          <w:szCs w:val="24"/>
        </w:rPr>
        <w:t xml:space="preserve">. </w:t>
      </w:r>
    </w:p>
    <w:p w:rsidR="00463AFC" w:rsidRPr="001D3810" w:rsidRDefault="00463AFC" w:rsidP="00463AFC">
      <w:pPr>
        <w:pStyle w:val="Prrafodelista"/>
        <w:rPr>
          <w:rFonts w:cs="Arial"/>
          <w:sz w:val="24"/>
          <w:szCs w:val="24"/>
        </w:rPr>
      </w:pPr>
    </w:p>
    <w:p w:rsidR="00463AFC" w:rsidRPr="001D3810" w:rsidRDefault="00F31C82" w:rsidP="00463AFC">
      <w:pPr>
        <w:pStyle w:val="Prrafodelista"/>
        <w:numPr>
          <w:ilvl w:val="0"/>
          <w:numId w:val="17"/>
        </w:numPr>
        <w:tabs>
          <w:tab w:val="left" w:pos="993"/>
        </w:tabs>
        <w:spacing w:after="0" w:line="240" w:lineRule="auto"/>
        <w:ind w:left="284" w:hanging="284"/>
        <w:jc w:val="both"/>
        <w:rPr>
          <w:rFonts w:cs="Arial"/>
          <w:sz w:val="24"/>
          <w:szCs w:val="24"/>
        </w:rPr>
      </w:pPr>
      <w:r w:rsidRPr="001D3810">
        <w:rPr>
          <w:rFonts w:ascii="Calibri" w:eastAsia="Times New Roman" w:hAnsi="Calibri" w:cs="Calibri"/>
          <w:sz w:val="24"/>
          <w:szCs w:val="24"/>
          <w:lang w:eastAsia="es-ES"/>
        </w:rPr>
        <w:t xml:space="preserve">La devaluación salarial, el alto nivel de desempleo, la elevada precariedad del empleo creado y el recorte de las prestaciones sociales han provocado </w:t>
      </w:r>
      <w:r w:rsidRPr="001D3810">
        <w:rPr>
          <w:rFonts w:ascii="Calibri" w:eastAsia="Times New Roman" w:hAnsi="Calibri" w:cs="Calibri"/>
          <w:b/>
          <w:color w:val="4F6228" w:themeColor="accent3" w:themeShade="80"/>
          <w:sz w:val="24"/>
          <w:szCs w:val="24"/>
          <w:lang w:eastAsia="es-ES"/>
        </w:rPr>
        <w:t>un aumento de los niveles de pobreza y de exclusión social y un incremento de las desigualdades, que no remite con el crecimiento económico.</w:t>
      </w:r>
      <w:r w:rsidRPr="001D3810">
        <w:rPr>
          <w:rFonts w:ascii="Calibri" w:eastAsia="Times New Roman" w:hAnsi="Calibri" w:cs="Calibri"/>
          <w:sz w:val="24"/>
          <w:szCs w:val="24"/>
          <w:lang w:eastAsia="es-ES"/>
        </w:rPr>
        <w:t xml:space="preserve"> La población en riesgo de pobreza o exclusión social es ya del </w:t>
      </w:r>
      <w:r w:rsidR="00463AFC" w:rsidRPr="001D3810">
        <w:rPr>
          <w:rFonts w:ascii="Calibri" w:eastAsia="Times New Roman" w:hAnsi="Calibri" w:cs="Calibri"/>
          <w:sz w:val="24"/>
          <w:szCs w:val="24"/>
          <w:lang w:eastAsia="es-ES"/>
        </w:rPr>
        <w:t>41</w:t>
      </w:r>
      <w:r w:rsidRPr="001D3810">
        <w:rPr>
          <w:rFonts w:ascii="Calibri" w:eastAsia="Times New Roman" w:hAnsi="Calibri" w:cs="Calibri"/>
          <w:sz w:val="24"/>
          <w:szCs w:val="24"/>
          <w:lang w:eastAsia="es-ES"/>
        </w:rPr>
        <w:t>,</w:t>
      </w:r>
      <w:r w:rsidR="00463AFC" w:rsidRPr="001D3810">
        <w:rPr>
          <w:rFonts w:ascii="Calibri" w:eastAsia="Times New Roman" w:hAnsi="Calibri" w:cs="Calibri"/>
          <w:sz w:val="24"/>
          <w:szCs w:val="24"/>
          <w:lang w:eastAsia="es-ES"/>
        </w:rPr>
        <w:t>7</w:t>
      </w:r>
      <w:r w:rsidRPr="001D3810">
        <w:rPr>
          <w:rFonts w:ascii="Calibri" w:eastAsia="Times New Roman" w:hAnsi="Calibri" w:cs="Calibri"/>
          <w:sz w:val="24"/>
          <w:szCs w:val="24"/>
          <w:lang w:eastAsia="es-ES"/>
        </w:rPr>
        <w:t>%</w:t>
      </w:r>
      <w:r w:rsidR="00463AFC" w:rsidRPr="001D3810">
        <w:rPr>
          <w:rFonts w:ascii="Calibri" w:eastAsia="Times New Roman" w:hAnsi="Calibri" w:cs="Calibri"/>
          <w:sz w:val="24"/>
          <w:szCs w:val="24"/>
          <w:lang w:eastAsia="es-ES"/>
        </w:rPr>
        <w:t>.</w:t>
      </w:r>
    </w:p>
    <w:p w:rsidR="00463AFC" w:rsidRPr="001D3810" w:rsidRDefault="00463AFC" w:rsidP="00463AFC">
      <w:pPr>
        <w:pStyle w:val="Prrafodelista"/>
        <w:rPr>
          <w:rFonts w:ascii="Calibri" w:eastAsia="Times New Roman" w:hAnsi="Calibri" w:cs="Calibri"/>
          <w:sz w:val="24"/>
          <w:szCs w:val="24"/>
          <w:lang w:eastAsia="es-ES"/>
        </w:rPr>
      </w:pPr>
    </w:p>
    <w:p w:rsidR="00FF0FF5" w:rsidRPr="001D3810" w:rsidRDefault="00FF0FF5" w:rsidP="00463AFC">
      <w:pPr>
        <w:pStyle w:val="Prrafodelista"/>
        <w:rPr>
          <w:rFonts w:ascii="Calibri" w:eastAsia="Times New Roman" w:hAnsi="Calibri" w:cs="Calibri"/>
          <w:sz w:val="24"/>
          <w:szCs w:val="24"/>
          <w:lang w:eastAsia="es-ES"/>
        </w:rPr>
      </w:pPr>
    </w:p>
    <w:p w:rsidR="00FF0FF5" w:rsidRPr="001D3810" w:rsidRDefault="00FF0FF5" w:rsidP="00463AFC">
      <w:pPr>
        <w:pStyle w:val="Prrafodelista"/>
        <w:rPr>
          <w:rFonts w:ascii="Calibri" w:eastAsia="Times New Roman" w:hAnsi="Calibri" w:cs="Calibri"/>
          <w:sz w:val="24"/>
          <w:szCs w:val="24"/>
          <w:lang w:eastAsia="es-ES"/>
        </w:rPr>
      </w:pPr>
    </w:p>
    <w:p w:rsidR="00F31C82" w:rsidRPr="001D3810" w:rsidRDefault="00463AFC" w:rsidP="00463AFC">
      <w:pPr>
        <w:pStyle w:val="Prrafodelista"/>
        <w:numPr>
          <w:ilvl w:val="0"/>
          <w:numId w:val="17"/>
        </w:numPr>
        <w:tabs>
          <w:tab w:val="left" w:pos="993"/>
        </w:tabs>
        <w:spacing w:after="0" w:line="240" w:lineRule="auto"/>
        <w:ind w:left="284" w:hanging="284"/>
        <w:jc w:val="both"/>
        <w:rPr>
          <w:rFonts w:cs="Arial"/>
          <w:sz w:val="24"/>
          <w:szCs w:val="24"/>
        </w:rPr>
      </w:pPr>
      <w:r w:rsidRPr="001D3810">
        <w:rPr>
          <w:rFonts w:ascii="Calibri" w:eastAsia="Times New Roman" w:hAnsi="Calibri" w:cs="Calibri"/>
          <w:sz w:val="24"/>
          <w:szCs w:val="24"/>
          <w:lang w:eastAsia="es-ES"/>
        </w:rPr>
        <w:t>A nivel estatal, e</w:t>
      </w:r>
      <w:r w:rsidR="00F31C82" w:rsidRPr="001D3810">
        <w:rPr>
          <w:rFonts w:ascii="Calibri" w:eastAsia="Times New Roman" w:hAnsi="Calibri" w:cs="Calibri"/>
          <w:sz w:val="24"/>
          <w:szCs w:val="24"/>
          <w:lang w:eastAsia="es-ES"/>
        </w:rPr>
        <w:t xml:space="preserve">l </w:t>
      </w:r>
      <w:r w:rsidR="00F31C82" w:rsidRPr="001D3810">
        <w:rPr>
          <w:rFonts w:ascii="Calibri" w:eastAsia="Times New Roman" w:hAnsi="Calibri" w:cs="Calibri"/>
          <w:b/>
          <w:color w:val="4F6228" w:themeColor="accent3" w:themeShade="80"/>
          <w:sz w:val="24"/>
          <w:szCs w:val="24"/>
          <w:lang w:eastAsia="es-ES"/>
        </w:rPr>
        <w:t>48,5% de las personas en situación de desempleo</w:t>
      </w:r>
      <w:r w:rsidR="00F31C82" w:rsidRPr="001D3810">
        <w:rPr>
          <w:rFonts w:ascii="Calibri" w:eastAsia="Times New Roman" w:hAnsi="Calibri" w:cs="Calibri"/>
          <w:sz w:val="24"/>
          <w:szCs w:val="24"/>
          <w:lang w:eastAsia="es-ES"/>
        </w:rPr>
        <w:t xml:space="preserve"> está en riego de pobreza, y el</w:t>
      </w:r>
      <w:r w:rsidR="00F31C82" w:rsidRPr="001D3810">
        <w:rPr>
          <w:rFonts w:ascii="Calibri" w:eastAsia="Times New Roman" w:hAnsi="Calibri" w:cs="Calibri"/>
          <w:b/>
          <w:sz w:val="24"/>
          <w:szCs w:val="24"/>
          <w:lang w:eastAsia="es-ES"/>
        </w:rPr>
        <w:t xml:space="preserve"> </w:t>
      </w:r>
      <w:r w:rsidR="00F31C82" w:rsidRPr="001D3810">
        <w:rPr>
          <w:rFonts w:ascii="Calibri" w:eastAsia="Times New Roman" w:hAnsi="Calibri" w:cs="Calibri"/>
          <w:b/>
          <w:color w:val="4F6228" w:themeColor="accent3" w:themeShade="80"/>
          <w:sz w:val="24"/>
          <w:szCs w:val="24"/>
          <w:lang w:eastAsia="es-ES"/>
        </w:rPr>
        <w:t>14,1% de los ocupados</w:t>
      </w:r>
      <w:r w:rsidR="00F31C82" w:rsidRPr="001D3810">
        <w:rPr>
          <w:rFonts w:ascii="Calibri" w:eastAsia="Times New Roman" w:hAnsi="Calibri" w:cs="Calibri"/>
          <w:b/>
          <w:sz w:val="24"/>
          <w:szCs w:val="24"/>
          <w:lang w:eastAsia="es-ES"/>
        </w:rPr>
        <w:t xml:space="preserve">, </w:t>
      </w:r>
      <w:r w:rsidR="00F31C82" w:rsidRPr="001D3810">
        <w:rPr>
          <w:rFonts w:ascii="Calibri" w:eastAsia="Times New Roman" w:hAnsi="Calibri" w:cs="Calibri"/>
          <w:sz w:val="24"/>
          <w:szCs w:val="24"/>
          <w:lang w:eastAsia="es-ES"/>
        </w:rPr>
        <w:t xml:space="preserve">resultando especialmente llamativo cómo </w:t>
      </w:r>
      <w:r w:rsidR="00F31C82" w:rsidRPr="001D3810">
        <w:rPr>
          <w:rFonts w:ascii="Calibri" w:eastAsia="Times New Roman" w:hAnsi="Calibri" w:cs="Calibri"/>
          <w:b/>
          <w:color w:val="4F6228" w:themeColor="accent3" w:themeShade="80"/>
          <w:sz w:val="24"/>
          <w:szCs w:val="24"/>
          <w:lang w:eastAsia="es-ES"/>
        </w:rPr>
        <w:t>aumentó este indicador de manera muy notoria después de la introducción de la reforma laboral de febrero de 2012</w:t>
      </w:r>
      <w:r w:rsidR="00F31C82" w:rsidRPr="001D3810">
        <w:rPr>
          <w:rFonts w:ascii="Calibri" w:eastAsia="Times New Roman" w:hAnsi="Calibri" w:cs="Calibri"/>
          <w:color w:val="4F6228" w:themeColor="accent3" w:themeShade="80"/>
          <w:sz w:val="24"/>
          <w:szCs w:val="24"/>
          <w:lang w:eastAsia="es-ES"/>
        </w:rPr>
        <w:t xml:space="preserve">. </w:t>
      </w:r>
      <w:r w:rsidR="00F31C82" w:rsidRPr="001D3810">
        <w:rPr>
          <w:rFonts w:ascii="Calibri" w:eastAsia="Times New Roman" w:hAnsi="Calibri" w:cs="Calibri"/>
          <w:b/>
          <w:color w:val="4F6228" w:themeColor="accent3" w:themeShade="80"/>
          <w:sz w:val="24"/>
          <w:szCs w:val="24"/>
          <w:lang w:eastAsia="es-ES"/>
        </w:rPr>
        <w:t>España es el tercer país de la Unión Europea con mayor porcentaje de trabajadores pobres</w:t>
      </w:r>
      <w:r w:rsidR="00F31C82" w:rsidRPr="001D3810">
        <w:rPr>
          <w:rFonts w:ascii="Calibri" w:eastAsia="Times New Roman" w:hAnsi="Calibri" w:cs="Calibri"/>
          <w:b/>
          <w:sz w:val="24"/>
          <w:szCs w:val="24"/>
          <w:lang w:eastAsia="es-ES"/>
        </w:rPr>
        <w:t xml:space="preserve">, </w:t>
      </w:r>
      <w:r w:rsidR="00F31C82" w:rsidRPr="001D3810">
        <w:rPr>
          <w:rFonts w:ascii="Calibri" w:eastAsia="Times New Roman" w:hAnsi="Calibri" w:cs="Calibri"/>
          <w:sz w:val="24"/>
          <w:szCs w:val="24"/>
          <w:lang w:eastAsia="es-ES"/>
        </w:rPr>
        <w:t xml:space="preserve">solo por detrás de Rumanía y Grecia En el caso de los </w:t>
      </w:r>
      <w:r w:rsidR="00F31C82" w:rsidRPr="001D3810">
        <w:rPr>
          <w:rFonts w:ascii="Calibri" w:eastAsia="Times New Roman" w:hAnsi="Calibri" w:cs="Calibri"/>
          <w:b/>
          <w:color w:val="4F6228" w:themeColor="accent3" w:themeShade="80"/>
          <w:sz w:val="24"/>
          <w:szCs w:val="24"/>
          <w:lang w:eastAsia="es-ES"/>
        </w:rPr>
        <w:t>menores de 16 años, la tasa de pobreza alcanza el 28,9%.</w:t>
      </w:r>
    </w:p>
    <w:p w:rsidR="00463AFC" w:rsidRPr="001D3810" w:rsidRDefault="00463AFC" w:rsidP="00F31C82">
      <w:pPr>
        <w:widowControl w:val="0"/>
        <w:tabs>
          <w:tab w:val="left" w:pos="426"/>
        </w:tabs>
        <w:spacing w:after="0" w:line="240" w:lineRule="auto"/>
        <w:ind w:left="142"/>
        <w:jc w:val="both"/>
        <w:rPr>
          <w:rFonts w:ascii="Calibri" w:eastAsia="Times New Roman" w:hAnsi="Calibri" w:cs="Calibri"/>
          <w:sz w:val="24"/>
          <w:szCs w:val="24"/>
          <w:lang w:eastAsia="es-ES"/>
        </w:rPr>
      </w:pPr>
    </w:p>
    <w:p w:rsidR="00F31C82" w:rsidRPr="001D3810" w:rsidRDefault="00F31C82" w:rsidP="00F31C82">
      <w:pPr>
        <w:pStyle w:val="Prrafodelista"/>
        <w:numPr>
          <w:ilvl w:val="0"/>
          <w:numId w:val="17"/>
        </w:numPr>
        <w:spacing w:after="0" w:line="240" w:lineRule="auto"/>
        <w:ind w:left="284" w:hanging="284"/>
        <w:jc w:val="both"/>
        <w:rPr>
          <w:sz w:val="24"/>
          <w:szCs w:val="24"/>
        </w:rPr>
      </w:pPr>
      <w:r w:rsidRPr="001D3810">
        <w:rPr>
          <w:b/>
          <w:color w:val="4F6228" w:themeColor="accent3" w:themeShade="80"/>
          <w:sz w:val="24"/>
          <w:szCs w:val="24"/>
        </w:rPr>
        <w:t>En todo ello han tenido una responsabilidad muy importante las últimas reformas laborales, y sobre todo la de 2012 aplicada unilateralmente por el Gobierno del PP, de la que se cumplirán seis años de vigencia este mes de febrero</w:t>
      </w:r>
      <w:r w:rsidRPr="001D3810">
        <w:rPr>
          <w:color w:val="4F6228" w:themeColor="accent3" w:themeShade="80"/>
          <w:sz w:val="24"/>
          <w:szCs w:val="24"/>
        </w:rPr>
        <w:t>.</w:t>
      </w:r>
      <w:r w:rsidRPr="001D3810">
        <w:rPr>
          <w:sz w:val="24"/>
          <w:szCs w:val="24"/>
        </w:rPr>
        <w:t xml:space="preserve"> Como resultaba previsible a la vista de su contenido, la evidencia de los datos muestra que </w:t>
      </w:r>
      <w:r w:rsidRPr="001D3810">
        <w:rPr>
          <w:b/>
          <w:color w:val="4F6228" w:themeColor="accent3" w:themeShade="80"/>
          <w:sz w:val="24"/>
          <w:szCs w:val="24"/>
        </w:rPr>
        <w:t>la precariedad laboral, en sus distintas formas, ha aumentado desde entonces</w:t>
      </w:r>
      <w:r w:rsidRPr="001D3810">
        <w:rPr>
          <w:sz w:val="24"/>
          <w:szCs w:val="24"/>
        </w:rPr>
        <w:t xml:space="preserve">, y han aumentado la desprotección de los trabajadores y las trabajadoras y las desigualdades. </w:t>
      </w:r>
    </w:p>
    <w:p w:rsidR="00F31C82" w:rsidRPr="001D3810" w:rsidRDefault="00F31C82" w:rsidP="00F31C82">
      <w:pPr>
        <w:spacing w:after="0" w:line="240" w:lineRule="auto"/>
        <w:ind w:left="284" w:hanging="284"/>
        <w:jc w:val="both"/>
        <w:rPr>
          <w:sz w:val="24"/>
          <w:szCs w:val="24"/>
        </w:rPr>
      </w:pPr>
    </w:p>
    <w:p w:rsidR="00F31C82" w:rsidRPr="001D3810" w:rsidRDefault="00F31C82" w:rsidP="00F31C82">
      <w:pPr>
        <w:pStyle w:val="Prrafodelista"/>
        <w:widowControl w:val="0"/>
        <w:numPr>
          <w:ilvl w:val="0"/>
          <w:numId w:val="17"/>
        </w:numPr>
        <w:tabs>
          <w:tab w:val="left" w:pos="4830"/>
        </w:tabs>
        <w:spacing w:after="0" w:line="240" w:lineRule="auto"/>
        <w:ind w:left="284" w:hanging="284"/>
        <w:jc w:val="both"/>
        <w:rPr>
          <w:rFonts w:ascii="Calibri" w:eastAsia="Calibri" w:hAnsi="Calibri" w:cs="Times New Roman"/>
          <w:sz w:val="24"/>
          <w:szCs w:val="24"/>
        </w:rPr>
      </w:pPr>
      <w:r w:rsidRPr="001D3810">
        <w:rPr>
          <w:rFonts w:ascii="Calibri" w:eastAsia="Calibri" w:hAnsi="Calibri" w:cs="Times New Roman"/>
          <w:sz w:val="24"/>
          <w:szCs w:val="24"/>
        </w:rPr>
        <w:t xml:space="preserve">Por todo ello, </w:t>
      </w:r>
      <w:r w:rsidRPr="001D3810">
        <w:rPr>
          <w:rFonts w:ascii="Calibri" w:eastAsia="Times New Roman" w:hAnsi="Calibri" w:cs="Calibri"/>
          <w:b/>
          <w:color w:val="4F6228" w:themeColor="accent3" w:themeShade="80"/>
          <w:sz w:val="24"/>
          <w:szCs w:val="24"/>
          <w:lang w:eastAsia="es-ES"/>
        </w:rPr>
        <w:t xml:space="preserve">hay que revertir esta situación, y la </w:t>
      </w:r>
      <w:r w:rsidRPr="001D3810">
        <w:rPr>
          <w:rFonts w:ascii="Calibri" w:eastAsia="Calibri" w:hAnsi="Calibri" w:cs="Times New Roman"/>
          <w:b/>
          <w:color w:val="4F6228" w:themeColor="accent3" w:themeShade="80"/>
          <w:sz w:val="24"/>
          <w:szCs w:val="24"/>
        </w:rPr>
        <w:t xml:space="preserve">derogación de esta negativa reforma debe constituir el punto de partida imprescindible. En el mismo sentido, y en el marco del diálogo social con el Gobierno, </w:t>
      </w:r>
      <w:r w:rsidRPr="001D3810">
        <w:rPr>
          <w:b/>
          <w:color w:val="4F6228" w:themeColor="accent3" w:themeShade="80"/>
          <w:sz w:val="24"/>
          <w:szCs w:val="24"/>
        </w:rPr>
        <w:t>UGT y CCOO hemos presentado un documento conjunto con nuestras propuestas para reducir la temporalidad del empleo, que pone el acento en atajar el elevado fraude existente en la contratación temporal, que es la razón esencial por la cual nuestro país mantiene tasas de temporalidad tan elevadas de manera sostenida.</w:t>
      </w:r>
      <w:r w:rsidRPr="001D3810">
        <w:rPr>
          <w:b/>
          <w:sz w:val="24"/>
          <w:szCs w:val="24"/>
        </w:rPr>
        <w:t xml:space="preserve"> </w:t>
      </w:r>
      <w:r w:rsidRPr="001D3810">
        <w:rPr>
          <w:sz w:val="24"/>
          <w:szCs w:val="24"/>
        </w:rPr>
        <w:t>Para ello, se plantea un amplio catálogo de medidas capaz de recuperar la causalidad en la contratación y, con ello, tasas de temporalidad en el entorno de la media europea.</w:t>
      </w:r>
    </w:p>
    <w:p w:rsidR="00F31C82" w:rsidRPr="001D3810" w:rsidRDefault="00F31C82" w:rsidP="00F31C82">
      <w:pPr>
        <w:pStyle w:val="Prrafodelista"/>
        <w:rPr>
          <w:b/>
          <w:sz w:val="24"/>
          <w:szCs w:val="24"/>
        </w:rPr>
      </w:pPr>
    </w:p>
    <w:p w:rsidR="00F31C82" w:rsidRPr="001D3810" w:rsidRDefault="00F31C82" w:rsidP="00F31C82">
      <w:pPr>
        <w:pStyle w:val="Prrafodelista"/>
        <w:widowControl w:val="0"/>
        <w:numPr>
          <w:ilvl w:val="0"/>
          <w:numId w:val="17"/>
        </w:numPr>
        <w:tabs>
          <w:tab w:val="left" w:pos="4830"/>
        </w:tabs>
        <w:spacing w:after="0" w:line="240" w:lineRule="auto"/>
        <w:ind w:left="284" w:hanging="284"/>
        <w:jc w:val="both"/>
        <w:rPr>
          <w:rFonts w:ascii="Calibri" w:eastAsia="Calibri" w:hAnsi="Calibri" w:cs="Times New Roman"/>
          <w:b/>
          <w:color w:val="4F6228" w:themeColor="accent3" w:themeShade="80"/>
          <w:sz w:val="24"/>
          <w:szCs w:val="24"/>
        </w:rPr>
      </w:pPr>
      <w:r w:rsidRPr="001D3810">
        <w:rPr>
          <w:rFonts w:ascii="Calibri" w:eastAsia="Calibri" w:hAnsi="Calibri" w:cs="Times New Roman"/>
          <w:b/>
          <w:color w:val="4F6228" w:themeColor="accent3" w:themeShade="80"/>
          <w:sz w:val="24"/>
          <w:szCs w:val="24"/>
        </w:rPr>
        <w:t>Todo ello debe conducir a un modelo de crecimiento</w:t>
      </w:r>
      <w:r w:rsidR="009D6463" w:rsidRPr="001D3810">
        <w:rPr>
          <w:rFonts w:ascii="Calibri" w:eastAsia="Calibri" w:hAnsi="Calibri" w:cs="Times New Roman"/>
          <w:b/>
          <w:color w:val="4F6228" w:themeColor="accent3" w:themeShade="80"/>
          <w:sz w:val="24"/>
          <w:szCs w:val="24"/>
        </w:rPr>
        <w:t xml:space="preserve"> para Andalucía</w:t>
      </w:r>
      <w:r w:rsidRPr="001D3810">
        <w:rPr>
          <w:rFonts w:ascii="Calibri" w:eastAsia="Calibri" w:hAnsi="Calibri" w:cs="Times New Roman"/>
          <w:b/>
          <w:color w:val="4F6228" w:themeColor="accent3" w:themeShade="80"/>
          <w:sz w:val="24"/>
          <w:szCs w:val="24"/>
        </w:rPr>
        <w:t xml:space="preserve"> capaz de </w:t>
      </w:r>
      <w:r w:rsidRPr="001D3810">
        <w:rPr>
          <w:b/>
          <w:color w:val="4F6228" w:themeColor="accent3" w:themeShade="80"/>
          <w:sz w:val="24"/>
          <w:szCs w:val="24"/>
        </w:rPr>
        <w:t>crear empleo de mayor calidad, más productivo, que permita generar más riqueza y que se transforme, vía mejores salarios, en un aumento del bienestar de los hogares</w:t>
      </w:r>
      <w:r w:rsidR="009D6463" w:rsidRPr="001D3810">
        <w:rPr>
          <w:b/>
          <w:color w:val="4F6228" w:themeColor="accent3" w:themeShade="80"/>
          <w:sz w:val="24"/>
          <w:szCs w:val="24"/>
        </w:rPr>
        <w:t>.</w:t>
      </w:r>
    </w:p>
    <w:p w:rsidR="00F31C82" w:rsidRPr="001D3810" w:rsidRDefault="00F31C82" w:rsidP="00F31C82">
      <w:pPr>
        <w:pStyle w:val="Prrafodelista"/>
        <w:rPr>
          <w:rFonts w:ascii="Calibri" w:eastAsia="Calibri" w:hAnsi="Calibri" w:cs="Times New Roman"/>
          <w:b/>
          <w:sz w:val="24"/>
          <w:szCs w:val="24"/>
        </w:rPr>
      </w:pPr>
    </w:p>
    <w:p w:rsidR="00F31C82" w:rsidRPr="001D3810" w:rsidRDefault="00F31C82" w:rsidP="00F31C82">
      <w:pPr>
        <w:widowControl w:val="0"/>
        <w:tabs>
          <w:tab w:val="left" w:pos="4830"/>
        </w:tabs>
        <w:spacing w:after="0" w:line="240" w:lineRule="auto"/>
        <w:jc w:val="both"/>
        <w:rPr>
          <w:rFonts w:ascii="Calibri" w:eastAsia="Calibri" w:hAnsi="Calibri" w:cs="Times New Roman"/>
          <w:b/>
          <w:sz w:val="24"/>
          <w:szCs w:val="24"/>
        </w:rPr>
      </w:pPr>
    </w:p>
    <w:p w:rsidR="00C54DA9" w:rsidRPr="001D3810" w:rsidRDefault="00C54DA9">
      <w:pPr>
        <w:rPr>
          <w:rFonts w:ascii="Calibri" w:eastAsia="Times New Roman" w:hAnsi="Calibri" w:cs="Times New Roman"/>
          <w:sz w:val="24"/>
          <w:szCs w:val="24"/>
          <w:lang w:eastAsia="es-ES"/>
        </w:rPr>
      </w:pPr>
      <w:r w:rsidRPr="001D3810">
        <w:rPr>
          <w:rFonts w:ascii="Calibri" w:eastAsia="Times New Roman" w:hAnsi="Calibri" w:cs="Times New Roman"/>
          <w:sz w:val="24"/>
          <w:szCs w:val="24"/>
          <w:lang w:eastAsia="es-ES"/>
        </w:rPr>
        <w:br w:type="page"/>
      </w:r>
    </w:p>
    <w:p w:rsidR="00FB46CF" w:rsidRPr="00ED7F30" w:rsidRDefault="0079053A" w:rsidP="00AA4DF7">
      <w:pPr>
        <w:pStyle w:val="Prrafodelista"/>
        <w:numPr>
          <w:ilvl w:val="0"/>
          <w:numId w:val="13"/>
        </w:numPr>
        <w:spacing w:after="0" w:line="240" w:lineRule="auto"/>
        <w:ind w:left="426" w:hanging="426"/>
        <w:contextualSpacing w:val="0"/>
        <w:jc w:val="both"/>
        <w:rPr>
          <w:b/>
          <w:color w:val="4F6228" w:themeColor="accent3" w:themeShade="80"/>
          <w:sz w:val="28"/>
          <w:szCs w:val="28"/>
        </w:rPr>
      </w:pPr>
      <w:r w:rsidRPr="00ED7F30">
        <w:rPr>
          <w:b/>
          <w:color w:val="4F6228" w:themeColor="accent3" w:themeShade="80"/>
          <w:sz w:val="28"/>
          <w:szCs w:val="28"/>
        </w:rPr>
        <w:lastRenderedPageBreak/>
        <w:t>El</w:t>
      </w:r>
      <w:r w:rsidR="00FC606D" w:rsidRPr="00ED7F30">
        <w:rPr>
          <w:b/>
          <w:color w:val="4F6228" w:themeColor="accent3" w:themeShade="80"/>
          <w:sz w:val="28"/>
          <w:szCs w:val="28"/>
        </w:rPr>
        <w:t xml:space="preserve"> </w:t>
      </w:r>
      <w:r w:rsidR="00FB46CF" w:rsidRPr="00ED7F30">
        <w:rPr>
          <w:b/>
          <w:color w:val="4F6228" w:themeColor="accent3" w:themeShade="80"/>
          <w:sz w:val="28"/>
          <w:szCs w:val="28"/>
        </w:rPr>
        <w:t xml:space="preserve">crecimiento económico </w:t>
      </w:r>
      <w:r w:rsidRPr="00ED7F30">
        <w:rPr>
          <w:b/>
          <w:color w:val="4F6228" w:themeColor="accent3" w:themeShade="80"/>
          <w:sz w:val="28"/>
          <w:szCs w:val="28"/>
        </w:rPr>
        <w:t>no llega a las familias</w:t>
      </w:r>
    </w:p>
    <w:p w:rsidR="00871676" w:rsidRPr="00ED7F30" w:rsidRDefault="00871676" w:rsidP="00A93B85">
      <w:pPr>
        <w:spacing w:after="0" w:line="240" w:lineRule="auto"/>
        <w:jc w:val="both"/>
        <w:rPr>
          <w:rFonts w:ascii="Calibri" w:eastAsia="Calibri" w:hAnsi="Calibri" w:cs="Times New Roman"/>
          <w:b/>
          <w:color w:val="4F6228" w:themeColor="accent3" w:themeShade="80"/>
          <w:sz w:val="24"/>
        </w:rPr>
      </w:pPr>
    </w:p>
    <w:p w:rsidR="00D67FB1" w:rsidRPr="001D3810" w:rsidRDefault="00D67FB1" w:rsidP="00A93B85">
      <w:pPr>
        <w:spacing w:after="0" w:line="240" w:lineRule="auto"/>
        <w:jc w:val="both"/>
        <w:rPr>
          <w:rFonts w:ascii="Calibri" w:eastAsia="Calibri" w:hAnsi="Calibri" w:cs="Times New Roman"/>
          <w:sz w:val="24"/>
        </w:rPr>
      </w:pPr>
      <w:r w:rsidRPr="00ED7F30">
        <w:rPr>
          <w:rFonts w:ascii="Calibri" w:eastAsia="Calibri" w:hAnsi="Calibri" w:cs="Times New Roman"/>
          <w:b/>
          <w:color w:val="4F6228" w:themeColor="accent3" w:themeShade="80"/>
          <w:sz w:val="24"/>
        </w:rPr>
        <w:t xml:space="preserve">La economía </w:t>
      </w:r>
      <w:r w:rsidR="00FC606D" w:rsidRPr="00ED7F30">
        <w:rPr>
          <w:rFonts w:ascii="Calibri" w:eastAsia="Calibri" w:hAnsi="Calibri" w:cs="Times New Roman"/>
          <w:b/>
          <w:color w:val="4F6228" w:themeColor="accent3" w:themeShade="80"/>
          <w:sz w:val="24"/>
        </w:rPr>
        <w:t>andaluza</w:t>
      </w:r>
      <w:r w:rsidRPr="00ED7F30">
        <w:rPr>
          <w:rFonts w:ascii="Calibri" w:eastAsia="Calibri" w:hAnsi="Calibri" w:cs="Times New Roman"/>
          <w:b/>
          <w:color w:val="4F6228" w:themeColor="accent3" w:themeShade="80"/>
          <w:sz w:val="24"/>
        </w:rPr>
        <w:t xml:space="preserve"> </w:t>
      </w:r>
      <w:r w:rsidR="00BD54EB" w:rsidRPr="00ED7F30">
        <w:rPr>
          <w:rFonts w:ascii="Calibri" w:eastAsia="Calibri" w:hAnsi="Calibri" w:cs="Times New Roman"/>
          <w:b/>
          <w:color w:val="4F6228" w:themeColor="accent3" w:themeShade="80"/>
          <w:sz w:val="24"/>
        </w:rPr>
        <w:t>continúa</w:t>
      </w:r>
      <w:r w:rsidRPr="00ED7F30">
        <w:rPr>
          <w:rFonts w:ascii="Calibri" w:eastAsia="Calibri" w:hAnsi="Calibri" w:cs="Times New Roman"/>
          <w:b/>
          <w:color w:val="4F6228" w:themeColor="accent3" w:themeShade="80"/>
          <w:sz w:val="24"/>
        </w:rPr>
        <w:t xml:space="preserve"> en plena fase expansiva</w:t>
      </w:r>
      <w:r w:rsidRPr="001D3810">
        <w:rPr>
          <w:rFonts w:ascii="Calibri" w:eastAsia="Calibri" w:hAnsi="Calibri" w:cs="Times New Roman"/>
          <w:sz w:val="24"/>
        </w:rPr>
        <w:t xml:space="preserve">, </w:t>
      </w:r>
      <w:r w:rsidR="00BD54EB" w:rsidRPr="001D3810">
        <w:rPr>
          <w:rFonts w:ascii="Calibri" w:eastAsia="Calibri" w:hAnsi="Calibri" w:cs="Times New Roman"/>
          <w:sz w:val="24"/>
        </w:rPr>
        <w:t>a pesar de que se prevé una suave desaceleración en su ritmo para 2018</w:t>
      </w:r>
      <w:r w:rsidR="00FC606D" w:rsidRPr="001D3810">
        <w:rPr>
          <w:rFonts w:ascii="Calibri" w:eastAsia="Calibri" w:hAnsi="Calibri" w:cs="Times New Roman"/>
          <w:sz w:val="24"/>
        </w:rPr>
        <w:t xml:space="preserve"> (2,6%)</w:t>
      </w:r>
      <w:r w:rsidR="00BD54EB" w:rsidRPr="001D3810">
        <w:rPr>
          <w:rFonts w:ascii="Calibri" w:eastAsia="Calibri" w:hAnsi="Calibri" w:cs="Times New Roman"/>
          <w:sz w:val="24"/>
        </w:rPr>
        <w:t>. En todo caso, las p</w:t>
      </w:r>
      <w:r w:rsidRPr="001D3810">
        <w:rPr>
          <w:rFonts w:ascii="Calibri" w:eastAsia="Calibri" w:hAnsi="Calibri" w:cs="Times New Roman"/>
          <w:sz w:val="24"/>
        </w:rPr>
        <w:t xml:space="preserve">erspectivas </w:t>
      </w:r>
      <w:r w:rsidR="00BD54EB" w:rsidRPr="001D3810">
        <w:rPr>
          <w:rFonts w:ascii="Calibri" w:eastAsia="Calibri" w:hAnsi="Calibri" w:cs="Times New Roman"/>
          <w:sz w:val="24"/>
        </w:rPr>
        <w:t>son buenas, e</w:t>
      </w:r>
      <w:r w:rsidRPr="001D3810">
        <w:rPr>
          <w:rFonts w:ascii="Calibri" w:eastAsia="Calibri" w:hAnsi="Calibri" w:cs="Times New Roman"/>
          <w:sz w:val="24"/>
        </w:rPr>
        <w:t>n</w:t>
      </w:r>
      <w:r w:rsidR="00BD54EB" w:rsidRPr="001D3810">
        <w:rPr>
          <w:rFonts w:ascii="Calibri" w:eastAsia="Calibri" w:hAnsi="Calibri" w:cs="Times New Roman"/>
          <w:sz w:val="24"/>
        </w:rPr>
        <w:t xml:space="preserve"> un</w:t>
      </w:r>
      <w:r w:rsidRPr="001D3810">
        <w:rPr>
          <w:rFonts w:ascii="Calibri" w:eastAsia="Calibri" w:hAnsi="Calibri" w:cs="Times New Roman"/>
          <w:sz w:val="24"/>
        </w:rPr>
        <w:t xml:space="preserve"> contexto de bonanza </w:t>
      </w:r>
      <w:r w:rsidR="00BD54EB" w:rsidRPr="001D3810">
        <w:rPr>
          <w:rFonts w:ascii="Calibri" w:eastAsia="Calibri" w:hAnsi="Calibri" w:cs="Times New Roman"/>
          <w:sz w:val="24"/>
        </w:rPr>
        <w:t xml:space="preserve">generalizada </w:t>
      </w:r>
      <w:r w:rsidRPr="001D3810">
        <w:rPr>
          <w:rFonts w:ascii="Calibri" w:eastAsia="Calibri" w:hAnsi="Calibri" w:cs="Times New Roman"/>
          <w:sz w:val="24"/>
        </w:rPr>
        <w:t>de la economía europea y mundial que, aunque con ciertos riesgos</w:t>
      </w:r>
      <w:r w:rsidR="00BD54EB" w:rsidRPr="001D3810">
        <w:rPr>
          <w:rFonts w:ascii="Calibri" w:eastAsia="Calibri" w:hAnsi="Calibri" w:cs="Times New Roman"/>
          <w:sz w:val="24"/>
        </w:rPr>
        <w:t xml:space="preserve"> (retirada paulatina de la política monetaria expansiva, impacto del proteccionismo y política comercial de EEUU, inestabilidad política en algunos países)</w:t>
      </w:r>
      <w:r w:rsidRPr="001D3810">
        <w:rPr>
          <w:rFonts w:ascii="Calibri" w:eastAsia="Calibri" w:hAnsi="Calibri" w:cs="Times New Roman"/>
          <w:sz w:val="24"/>
        </w:rPr>
        <w:t xml:space="preserve">, </w:t>
      </w:r>
      <w:r w:rsidR="00962EC8" w:rsidRPr="001D3810">
        <w:rPr>
          <w:rFonts w:ascii="Calibri" w:eastAsia="Calibri" w:hAnsi="Calibri" w:cs="Times New Roman"/>
          <w:sz w:val="24"/>
        </w:rPr>
        <w:t xml:space="preserve">que </w:t>
      </w:r>
      <w:r w:rsidRPr="001D3810">
        <w:rPr>
          <w:rFonts w:ascii="Calibri" w:eastAsia="Calibri" w:hAnsi="Calibri" w:cs="Times New Roman"/>
          <w:sz w:val="24"/>
        </w:rPr>
        <w:t xml:space="preserve">son en todo caso de menor calado que </w:t>
      </w:r>
      <w:r w:rsidR="00BD54EB" w:rsidRPr="001D3810">
        <w:rPr>
          <w:rFonts w:ascii="Calibri" w:eastAsia="Calibri" w:hAnsi="Calibri" w:cs="Times New Roman"/>
          <w:sz w:val="24"/>
        </w:rPr>
        <w:t>etapas anteriores</w:t>
      </w:r>
      <w:r w:rsidRPr="001D3810">
        <w:rPr>
          <w:rFonts w:ascii="Calibri" w:eastAsia="Calibri" w:hAnsi="Calibri" w:cs="Times New Roman"/>
          <w:sz w:val="24"/>
        </w:rPr>
        <w:t xml:space="preserve">. </w:t>
      </w:r>
    </w:p>
    <w:p w:rsidR="00D67FB1" w:rsidRPr="001D3810" w:rsidRDefault="00D67FB1" w:rsidP="004B6957">
      <w:pPr>
        <w:spacing w:after="0" w:line="240" w:lineRule="auto"/>
        <w:jc w:val="both"/>
        <w:rPr>
          <w:rFonts w:ascii="Calibri" w:eastAsia="Calibri" w:hAnsi="Calibri" w:cs="Times New Roman"/>
          <w:sz w:val="24"/>
        </w:rPr>
      </w:pPr>
    </w:p>
    <w:p w:rsidR="0084782B" w:rsidRPr="001D3810" w:rsidRDefault="00D67FB1" w:rsidP="004B6957">
      <w:pPr>
        <w:spacing w:after="0" w:line="240" w:lineRule="auto"/>
        <w:jc w:val="both"/>
        <w:rPr>
          <w:rFonts w:ascii="Calibri" w:eastAsia="Calibri" w:hAnsi="Calibri" w:cs="Times New Roman"/>
          <w:sz w:val="24"/>
        </w:rPr>
      </w:pPr>
      <w:r w:rsidRPr="00ED7F30">
        <w:rPr>
          <w:rFonts w:ascii="Calibri" w:eastAsia="Calibri" w:hAnsi="Calibri" w:cs="Times New Roman"/>
          <w:b/>
          <w:color w:val="4F6228" w:themeColor="accent3" w:themeShade="80"/>
          <w:sz w:val="24"/>
        </w:rPr>
        <w:t xml:space="preserve">El PIB </w:t>
      </w:r>
      <w:r w:rsidR="00FC606D" w:rsidRPr="00ED7F30">
        <w:rPr>
          <w:rFonts w:ascii="Calibri" w:eastAsia="Calibri" w:hAnsi="Calibri" w:cs="Times New Roman"/>
          <w:b/>
          <w:color w:val="4F6228" w:themeColor="accent3" w:themeShade="80"/>
          <w:sz w:val="24"/>
        </w:rPr>
        <w:t>andaluz</w:t>
      </w:r>
      <w:r w:rsidRPr="00ED7F30">
        <w:rPr>
          <w:rFonts w:ascii="Calibri" w:eastAsia="Calibri" w:hAnsi="Calibri" w:cs="Times New Roman"/>
          <w:b/>
          <w:color w:val="4F6228" w:themeColor="accent3" w:themeShade="80"/>
          <w:sz w:val="24"/>
        </w:rPr>
        <w:t xml:space="preserve"> </w:t>
      </w:r>
      <w:r w:rsidR="00744A94" w:rsidRPr="00ED7F30">
        <w:rPr>
          <w:rFonts w:ascii="Calibri" w:eastAsia="Calibri" w:hAnsi="Calibri" w:cs="Times New Roman"/>
          <w:b/>
          <w:color w:val="4F6228" w:themeColor="accent3" w:themeShade="80"/>
          <w:sz w:val="24"/>
        </w:rPr>
        <w:t xml:space="preserve">viene creciendo desde hace cuatro años, los tres últimos por encima </w:t>
      </w:r>
      <w:r w:rsidR="00FC606D" w:rsidRPr="00ED7F30">
        <w:rPr>
          <w:rFonts w:ascii="Calibri" w:eastAsia="Calibri" w:hAnsi="Calibri" w:cs="Times New Roman"/>
          <w:b/>
          <w:color w:val="4F6228" w:themeColor="accent3" w:themeShade="80"/>
          <w:sz w:val="24"/>
        </w:rPr>
        <w:t>o muy cercano a</w:t>
      </w:r>
      <w:r w:rsidR="00744A94" w:rsidRPr="00ED7F30">
        <w:rPr>
          <w:rFonts w:ascii="Calibri" w:eastAsia="Calibri" w:hAnsi="Calibri" w:cs="Times New Roman"/>
          <w:b/>
          <w:color w:val="4F6228" w:themeColor="accent3" w:themeShade="80"/>
          <w:sz w:val="24"/>
        </w:rPr>
        <w:t xml:space="preserve">l </w:t>
      </w:r>
      <w:r w:rsidR="00871676" w:rsidRPr="00ED7F30">
        <w:rPr>
          <w:rFonts w:ascii="Calibri" w:eastAsia="Calibri" w:hAnsi="Calibri" w:cs="Times New Roman"/>
          <w:b/>
          <w:color w:val="4F6228" w:themeColor="accent3" w:themeShade="80"/>
          <w:sz w:val="24"/>
        </w:rPr>
        <w:t>3%</w:t>
      </w:r>
      <w:r w:rsidR="00962EC8" w:rsidRPr="00ED7F30">
        <w:rPr>
          <w:rFonts w:ascii="Calibri" w:eastAsia="Calibri" w:hAnsi="Calibri" w:cs="Times New Roman"/>
          <w:b/>
          <w:color w:val="4F6228" w:themeColor="accent3" w:themeShade="80"/>
          <w:sz w:val="24"/>
        </w:rPr>
        <w:t>.</w:t>
      </w:r>
      <w:r w:rsidR="00962EC8" w:rsidRPr="001D3810">
        <w:rPr>
          <w:rFonts w:ascii="Calibri" w:eastAsia="Calibri" w:hAnsi="Calibri" w:cs="Times New Roman"/>
          <w:sz w:val="24"/>
        </w:rPr>
        <w:t xml:space="preserve"> </w:t>
      </w:r>
      <w:r w:rsidR="00FC606D" w:rsidRPr="001D3810">
        <w:rPr>
          <w:rFonts w:ascii="Calibri" w:eastAsia="Calibri" w:hAnsi="Calibri" w:cs="Times New Roman"/>
          <w:sz w:val="24"/>
        </w:rPr>
        <w:t xml:space="preserve">A nivel estatal, </w:t>
      </w:r>
      <w:r w:rsidR="00962EC8" w:rsidRPr="001D3810">
        <w:rPr>
          <w:rFonts w:ascii="Calibri" w:eastAsia="Calibri" w:hAnsi="Calibri" w:cs="Times New Roman"/>
          <w:sz w:val="24"/>
        </w:rPr>
        <w:t>2017 se ha comportado mejor de lo previsto inicialmente</w:t>
      </w:r>
      <w:r w:rsidR="0084782B" w:rsidRPr="001D3810">
        <w:rPr>
          <w:rFonts w:ascii="Calibri" w:eastAsia="Calibri" w:hAnsi="Calibri" w:cs="Times New Roman"/>
          <w:sz w:val="24"/>
        </w:rPr>
        <w:t xml:space="preserve">, y terminará con un crecimiento medio del </w:t>
      </w:r>
      <w:r w:rsidR="00871676" w:rsidRPr="001D3810">
        <w:rPr>
          <w:rFonts w:ascii="Calibri" w:eastAsia="Calibri" w:hAnsi="Calibri" w:cs="Times New Roman"/>
          <w:sz w:val="24"/>
        </w:rPr>
        <w:t>3,1%</w:t>
      </w:r>
      <w:r w:rsidR="0084782B" w:rsidRPr="001D3810">
        <w:rPr>
          <w:rFonts w:ascii="Calibri" w:eastAsia="Calibri" w:hAnsi="Calibri" w:cs="Times New Roman"/>
          <w:sz w:val="24"/>
        </w:rPr>
        <w:t>,</w:t>
      </w:r>
      <w:r w:rsidR="00871676" w:rsidRPr="001D3810">
        <w:rPr>
          <w:rFonts w:ascii="Calibri" w:eastAsia="Calibri" w:hAnsi="Calibri" w:cs="Times New Roman"/>
          <w:sz w:val="24"/>
        </w:rPr>
        <w:t xml:space="preserve"> frente a</w:t>
      </w:r>
      <w:r w:rsidR="0084782B" w:rsidRPr="001D3810">
        <w:rPr>
          <w:rFonts w:ascii="Calibri" w:eastAsia="Calibri" w:hAnsi="Calibri" w:cs="Times New Roman"/>
          <w:sz w:val="24"/>
        </w:rPr>
        <w:t>l</w:t>
      </w:r>
      <w:r w:rsidR="00871676" w:rsidRPr="001D3810">
        <w:rPr>
          <w:rFonts w:ascii="Calibri" w:eastAsia="Calibri" w:hAnsi="Calibri" w:cs="Times New Roman"/>
          <w:sz w:val="24"/>
        </w:rPr>
        <w:t xml:space="preserve"> 2,6%</w:t>
      </w:r>
      <w:r w:rsidR="0084782B" w:rsidRPr="001D3810">
        <w:rPr>
          <w:rFonts w:ascii="Calibri" w:eastAsia="Calibri" w:hAnsi="Calibri" w:cs="Times New Roman"/>
          <w:sz w:val="24"/>
        </w:rPr>
        <w:t xml:space="preserve"> que se contemplaba en el escenario macroeconómico de los PGE para este año. </w:t>
      </w:r>
      <w:r w:rsidR="004B6957" w:rsidRPr="001D3810">
        <w:rPr>
          <w:rFonts w:ascii="Calibri" w:eastAsia="Calibri" w:hAnsi="Calibri" w:cs="Times New Roman"/>
          <w:sz w:val="24"/>
        </w:rPr>
        <w:t>P</w:t>
      </w:r>
      <w:r w:rsidRPr="001D3810">
        <w:rPr>
          <w:rFonts w:ascii="Calibri" w:eastAsia="Calibri" w:hAnsi="Calibri" w:cs="Times New Roman"/>
          <w:sz w:val="24"/>
        </w:rPr>
        <w:t xml:space="preserve">ara 2018 se espera una cierta desaceleración, que el Gobierno sitúa (según sus últimas </w:t>
      </w:r>
      <w:r w:rsidR="00AB79DD" w:rsidRPr="001D3810">
        <w:rPr>
          <w:rFonts w:ascii="Calibri" w:eastAsia="Calibri" w:hAnsi="Calibri" w:cs="Times New Roman"/>
          <w:sz w:val="24"/>
        </w:rPr>
        <w:t xml:space="preserve">previsiones, enviadas a Bruselas en el </w:t>
      </w:r>
      <w:r w:rsidR="00AB79DD" w:rsidRPr="001D3810">
        <w:rPr>
          <w:rFonts w:ascii="Calibri" w:eastAsia="Calibri" w:hAnsi="Calibri" w:cs="Times New Roman"/>
          <w:i/>
          <w:sz w:val="24"/>
        </w:rPr>
        <w:t>Plan presupuestario</w:t>
      </w:r>
      <w:r w:rsidR="00AB79DD" w:rsidRPr="001D3810">
        <w:rPr>
          <w:rFonts w:ascii="Calibri" w:eastAsia="Calibri" w:hAnsi="Calibri" w:cs="Times New Roman"/>
          <w:sz w:val="24"/>
        </w:rPr>
        <w:t xml:space="preserve"> para ese año) en el 2,3%, </w:t>
      </w:r>
      <w:r w:rsidR="004B6957" w:rsidRPr="001D3810">
        <w:rPr>
          <w:rFonts w:ascii="Calibri" w:eastAsia="Calibri" w:hAnsi="Calibri" w:cs="Times New Roman"/>
          <w:sz w:val="24"/>
        </w:rPr>
        <w:t>como consecuencia, de un lado, de la paulatina pérdida de relevancia de los factores que impulsaron la actividad en los últimos años (</w:t>
      </w:r>
      <w:r w:rsidR="004B6957" w:rsidRPr="001D3810">
        <w:rPr>
          <w:sz w:val="24"/>
          <w:szCs w:val="24"/>
        </w:rPr>
        <w:t xml:space="preserve">el favorable tipo de cambio del euro con el dólar, los bajos precios del petróleo y, especialmente, la inyección de liquidez del BCE, que aunque de manera muy progresiva y prudente, ya ha comenzado a replegarse), y de otro, del posible </w:t>
      </w:r>
      <w:r w:rsidR="00AB79DD" w:rsidRPr="001D3810">
        <w:rPr>
          <w:rFonts w:ascii="Calibri" w:eastAsia="Calibri" w:hAnsi="Calibri" w:cs="Times New Roman"/>
          <w:sz w:val="24"/>
        </w:rPr>
        <w:t>impacto negativo de la situación política en Cataluña</w:t>
      </w:r>
      <w:r w:rsidR="004B6957" w:rsidRPr="00897BDF">
        <w:rPr>
          <w:rStyle w:val="Refdenotaalpie"/>
          <w:rFonts w:ascii="Calibri" w:eastAsia="Calibri" w:hAnsi="Calibri" w:cs="Times New Roman"/>
          <w:color w:val="4F6228" w:themeColor="accent3" w:themeShade="80"/>
          <w:sz w:val="24"/>
        </w:rPr>
        <w:footnoteReference w:id="2"/>
      </w:r>
      <w:r w:rsidR="00AB79DD" w:rsidRPr="001D3810">
        <w:rPr>
          <w:rFonts w:ascii="Calibri" w:eastAsia="Calibri" w:hAnsi="Calibri" w:cs="Times New Roman"/>
          <w:sz w:val="24"/>
        </w:rPr>
        <w:t xml:space="preserve">. </w:t>
      </w:r>
    </w:p>
    <w:p w:rsidR="00D67FB1" w:rsidRPr="001D3810" w:rsidRDefault="00D67FB1" w:rsidP="004B6957">
      <w:pPr>
        <w:spacing w:after="0" w:line="240" w:lineRule="auto"/>
        <w:jc w:val="both"/>
        <w:rPr>
          <w:sz w:val="24"/>
          <w:szCs w:val="24"/>
        </w:rPr>
      </w:pPr>
    </w:p>
    <w:p w:rsidR="001924E0" w:rsidRPr="001D3810" w:rsidRDefault="00AB79DD" w:rsidP="004B6957">
      <w:pPr>
        <w:spacing w:after="0" w:line="240" w:lineRule="auto"/>
        <w:jc w:val="both"/>
        <w:rPr>
          <w:rFonts w:ascii="Calibri" w:eastAsia="Calibri" w:hAnsi="Calibri" w:cs="Times New Roman"/>
          <w:sz w:val="24"/>
        </w:rPr>
      </w:pPr>
      <w:r w:rsidRPr="001D3810">
        <w:rPr>
          <w:sz w:val="24"/>
          <w:szCs w:val="24"/>
        </w:rPr>
        <w:t xml:space="preserve">En el ámbito internacional, las previsiones apuntan a un crecimiento del PIB mundial en 2018 </w:t>
      </w:r>
      <w:r w:rsidRPr="001D3810">
        <w:rPr>
          <w:rFonts w:ascii="Calibri" w:eastAsia="Calibri" w:hAnsi="Calibri" w:cs="Times New Roman"/>
          <w:sz w:val="24"/>
        </w:rPr>
        <w:t xml:space="preserve">en torno al 3,5%, y del 1,8% si se circunscribe a los países europeos, mejorando las expectativas respecto de las existentes el pasado año. </w:t>
      </w:r>
      <w:r w:rsidR="0084782B" w:rsidRPr="001D3810">
        <w:rPr>
          <w:rFonts w:ascii="Calibri" w:eastAsia="Calibri" w:hAnsi="Calibri" w:cs="Times New Roman"/>
          <w:sz w:val="24"/>
        </w:rPr>
        <w:t xml:space="preserve">Los organismos internacionales más relevantes (OCDE, FMI, BCE) advierten </w:t>
      </w:r>
      <w:r w:rsidRPr="001D3810">
        <w:rPr>
          <w:rFonts w:ascii="Calibri" w:eastAsia="Calibri" w:hAnsi="Calibri" w:cs="Times New Roman"/>
          <w:sz w:val="24"/>
        </w:rPr>
        <w:t xml:space="preserve">en todo caso </w:t>
      </w:r>
      <w:r w:rsidR="0084782B" w:rsidRPr="001D3810">
        <w:rPr>
          <w:rFonts w:ascii="Calibri" w:eastAsia="Calibri" w:hAnsi="Calibri" w:cs="Times New Roman"/>
          <w:sz w:val="24"/>
        </w:rPr>
        <w:t xml:space="preserve">de la necesidad de que, junto a reformas para ganar en eficiencia productiva, la política fiscal y la política salarial </w:t>
      </w:r>
      <w:r w:rsidRPr="001D3810">
        <w:rPr>
          <w:rFonts w:ascii="Calibri" w:eastAsia="Calibri" w:hAnsi="Calibri" w:cs="Times New Roman"/>
          <w:sz w:val="24"/>
        </w:rPr>
        <w:t xml:space="preserve">en Europa </w:t>
      </w:r>
      <w:r w:rsidR="0084782B" w:rsidRPr="001D3810">
        <w:rPr>
          <w:rFonts w:ascii="Calibri" w:eastAsia="Calibri" w:hAnsi="Calibri" w:cs="Times New Roman"/>
          <w:sz w:val="24"/>
        </w:rPr>
        <w:t xml:space="preserve">sean más expansivas, para reforzar el crecimiento y sustituir el impulso extraordinario de la política monetaria, que se está retirando. </w:t>
      </w:r>
    </w:p>
    <w:p w:rsidR="0024505B" w:rsidRPr="001D3810" w:rsidRDefault="0024505B" w:rsidP="004B6957">
      <w:pPr>
        <w:spacing w:after="0" w:line="240" w:lineRule="auto"/>
        <w:jc w:val="both"/>
        <w:rPr>
          <w:rFonts w:ascii="Calibri" w:eastAsia="Calibri" w:hAnsi="Calibri" w:cs="Times New Roman"/>
          <w:sz w:val="24"/>
        </w:rPr>
      </w:pPr>
    </w:p>
    <w:p w:rsidR="00AB79DD" w:rsidRPr="001D3810" w:rsidRDefault="00AB79DD" w:rsidP="004B6957">
      <w:pPr>
        <w:spacing w:after="0" w:line="240" w:lineRule="auto"/>
        <w:jc w:val="both"/>
        <w:rPr>
          <w:rFonts w:ascii="Calibri" w:eastAsia="Calibri" w:hAnsi="Calibri" w:cs="Times New Roman"/>
          <w:sz w:val="24"/>
        </w:rPr>
      </w:pPr>
      <w:r w:rsidRPr="001D3810">
        <w:rPr>
          <w:rFonts w:ascii="Calibri" w:eastAsia="Calibri" w:hAnsi="Calibri" w:cs="Times New Roman"/>
          <w:sz w:val="24"/>
        </w:rPr>
        <w:t>En este sentido, resulta evidente que se ha producido un cierto cambio de discurso en los diagnósticos de estas influyentes instituciones, enmendando incluso muchas de sus propias posiciones, mantenidas desde 2010 de manera inflexible. No obstante, este relativo viraje se aprecia más en la parte explicativa de la situación actual que en la propositiv</w:t>
      </w:r>
      <w:r w:rsidR="00840355" w:rsidRPr="001D3810">
        <w:rPr>
          <w:rFonts w:ascii="Calibri" w:eastAsia="Calibri" w:hAnsi="Calibri" w:cs="Times New Roman"/>
          <w:sz w:val="24"/>
        </w:rPr>
        <w:t>a</w:t>
      </w:r>
      <w:r w:rsidRPr="001D3810">
        <w:rPr>
          <w:rFonts w:ascii="Calibri" w:eastAsia="Calibri" w:hAnsi="Calibri" w:cs="Times New Roman"/>
          <w:sz w:val="24"/>
        </w:rPr>
        <w:t xml:space="preserve">, resistiéndose a modificar de manera coherente </w:t>
      </w:r>
      <w:r w:rsidR="001924E0" w:rsidRPr="001D3810">
        <w:rPr>
          <w:rFonts w:ascii="Calibri" w:eastAsia="Calibri" w:hAnsi="Calibri" w:cs="Times New Roman"/>
          <w:sz w:val="24"/>
        </w:rPr>
        <w:t>sus recetas para reforzar el crecimiento, hacer las economías más eficientes y competitivas, impulsar un empleo de mayor calidad y</w:t>
      </w:r>
      <w:r w:rsidR="004B6957" w:rsidRPr="001D3810">
        <w:rPr>
          <w:rFonts w:ascii="Calibri" w:eastAsia="Calibri" w:hAnsi="Calibri" w:cs="Times New Roman"/>
          <w:sz w:val="24"/>
        </w:rPr>
        <w:t>, sobre todo,</w:t>
      </w:r>
      <w:r w:rsidR="001924E0" w:rsidRPr="001D3810">
        <w:rPr>
          <w:rFonts w:ascii="Calibri" w:eastAsia="Calibri" w:hAnsi="Calibri" w:cs="Times New Roman"/>
          <w:sz w:val="24"/>
        </w:rPr>
        <w:t xml:space="preserve"> reducir los elevados niveles de pobreza y desigualdad existentes, que se ha tornado un problema estructural ineludible</w:t>
      </w:r>
      <w:r w:rsidR="004B6957" w:rsidRPr="001D3810">
        <w:rPr>
          <w:rFonts w:ascii="Calibri" w:eastAsia="Calibri" w:hAnsi="Calibri" w:cs="Times New Roman"/>
          <w:sz w:val="24"/>
        </w:rPr>
        <w:t xml:space="preserve">, tal y como viene destacando en sus últimos informes </w:t>
      </w:r>
      <w:r w:rsidR="001924E0" w:rsidRPr="001D3810">
        <w:rPr>
          <w:rFonts w:ascii="Calibri" w:eastAsia="Calibri" w:hAnsi="Calibri" w:cs="Times New Roman"/>
          <w:sz w:val="24"/>
        </w:rPr>
        <w:t xml:space="preserve">el FMI. </w:t>
      </w:r>
    </w:p>
    <w:p w:rsidR="00871676" w:rsidRPr="001D3810" w:rsidRDefault="00871676" w:rsidP="001B6257">
      <w:pPr>
        <w:spacing w:after="0" w:line="240" w:lineRule="auto"/>
        <w:jc w:val="both"/>
        <w:rPr>
          <w:sz w:val="24"/>
          <w:szCs w:val="24"/>
        </w:rPr>
      </w:pPr>
    </w:p>
    <w:p w:rsidR="00A93B85" w:rsidRPr="001D3810" w:rsidRDefault="00A93B85" w:rsidP="00F53215">
      <w:pPr>
        <w:spacing w:after="0" w:line="240" w:lineRule="auto"/>
        <w:jc w:val="both"/>
        <w:rPr>
          <w:rFonts w:ascii="Calibri" w:eastAsia="Times New Roman" w:hAnsi="Calibri" w:cs="Times New Roman"/>
          <w:sz w:val="24"/>
          <w:szCs w:val="32"/>
          <w:lang w:eastAsia="es-ES"/>
        </w:rPr>
      </w:pPr>
      <w:r w:rsidRPr="001D3810">
        <w:rPr>
          <w:rFonts w:ascii="Calibri" w:eastAsia="Times New Roman" w:hAnsi="Calibri" w:cs="Times New Roman"/>
          <w:sz w:val="24"/>
          <w:szCs w:val="32"/>
          <w:lang w:eastAsia="es-ES"/>
        </w:rPr>
        <w:t xml:space="preserve">En este contexto, </w:t>
      </w:r>
      <w:r w:rsidRPr="00ED7F30">
        <w:rPr>
          <w:rFonts w:ascii="Calibri" w:eastAsia="Times New Roman" w:hAnsi="Calibri" w:cs="Times New Roman"/>
          <w:b/>
          <w:color w:val="4F6228" w:themeColor="accent3" w:themeShade="80"/>
          <w:sz w:val="24"/>
          <w:szCs w:val="32"/>
          <w:lang w:eastAsia="es-ES"/>
        </w:rPr>
        <w:t xml:space="preserve">las empresas </w:t>
      </w:r>
      <w:r w:rsidR="00FC606D" w:rsidRPr="00ED7F30">
        <w:rPr>
          <w:rFonts w:ascii="Calibri" w:eastAsia="Times New Roman" w:hAnsi="Calibri" w:cs="Times New Roman"/>
          <w:b/>
          <w:color w:val="4F6228" w:themeColor="accent3" w:themeShade="80"/>
          <w:sz w:val="24"/>
          <w:szCs w:val="32"/>
          <w:lang w:eastAsia="es-ES"/>
        </w:rPr>
        <w:t>andaluzas</w:t>
      </w:r>
      <w:r w:rsidRPr="00ED7F30">
        <w:rPr>
          <w:rFonts w:ascii="Calibri" w:eastAsia="Times New Roman" w:hAnsi="Calibri" w:cs="Times New Roman"/>
          <w:b/>
          <w:color w:val="4F6228" w:themeColor="accent3" w:themeShade="80"/>
          <w:sz w:val="24"/>
          <w:szCs w:val="32"/>
          <w:lang w:eastAsia="es-ES"/>
        </w:rPr>
        <w:t xml:space="preserve"> </w:t>
      </w:r>
      <w:r w:rsidR="00F53215" w:rsidRPr="00ED7F30">
        <w:rPr>
          <w:rFonts w:ascii="Calibri" w:eastAsia="Times New Roman" w:hAnsi="Calibri" w:cs="Times New Roman"/>
          <w:b/>
          <w:color w:val="4F6228" w:themeColor="accent3" w:themeShade="80"/>
          <w:sz w:val="24"/>
          <w:szCs w:val="32"/>
          <w:lang w:eastAsia="es-ES"/>
        </w:rPr>
        <w:t>han</w:t>
      </w:r>
      <w:r w:rsidR="008251FE" w:rsidRPr="00ED7F30">
        <w:rPr>
          <w:rFonts w:ascii="Calibri" w:eastAsia="Times New Roman" w:hAnsi="Calibri" w:cs="Times New Roman"/>
          <w:b/>
          <w:color w:val="4F6228" w:themeColor="accent3" w:themeShade="80"/>
          <w:sz w:val="24"/>
          <w:szCs w:val="32"/>
          <w:lang w:eastAsia="es-ES"/>
        </w:rPr>
        <w:t xml:space="preserve"> recuperado ya</w:t>
      </w:r>
      <w:r w:rsidRPr="00ED7F30">
        <w:rPr>
          <w:rFonts w:ascii="Calibri" w:eastAsia="Times New Roman" w:hAnsi="Calibri" w:cs="Times New Roman"/>
          <w:b/>
          <w:color w:val="4F6228" w:themeColor="accent3" w:themeShade="80"/>
          <w:sz w:val="24"/>
          <w:szCs w:val="32"/>
          <w:lang w:eastAsia="es-ES"/>
        </w:rPr>
        <w:t>, de manera global,</w:t>
      </w:r>
      <w:r w:rsidR="008251FE" w:rsidRPr="00ED7F30">
        <w:rPr>
          <w:rFonts w:ascii="Calibri" w:eastAsia="Times New Roman" w:hAnsi="Calibri" w:cs="Times New Roman"/>
          <w:b/>
          <w:color w:val="4F6228" w:themeColor="accent3" w:themeShade="80"/>
          <w:sz w:val="24"/>
          <w:szCs w:val="32"/>
          <w:lang w:eastAsia="es-ES"/>
        </w:rPr>
        <w:t xml:space="preserve"> los niveles de beneficio </w:t>
      </w:r>
      <w:r w:rsidRPr="00ED7F30">
        <w:rPr>
          <w:rFonts w:ascii="Calibri" w:eastAsia="Times New Roman" w:hAnsi="Calibri" w:cs="Times New Roman"/>
          <w:b/>
          <w:color w:val="4F6228" w:themeColor="accent3" w:themeShade="80"/>
          <w:sz w:val="24"/>
          <w:szCs w:val="32"/>
          <w:lang w:eastAsia="es-ES"/>
        </w:rPr>
        <w:t xml:space="preserve">que tenían </w:t>
      </w:r>
      <w:r w:rsidR="008251FE" w:rsidRPr="00ED7F30">
        <w:rPr>
          <w:rFonts w:ascii="Calibri" w:eastAsia="Times New Roman" w:hAnsi="Calibri" w:cs="Times New Roman"/>
          <w:b/>
          <w:color w:val="4F6228" w:themeColor="accent3" w:themeShade="80"/>
          <w:sz w:val="24"/>
          <w:szCs w:val="32"/>
          <w:lang w:eastAsia="es-ES"/>
        </w:rPr>
        <w:t>antes de la crisis</w:t>
      </w:r>
      <w:r w:rsidR="008251FE" w:rsidRPr="001D3810">
        <w:rPr>
          <w:rFonts w:ascii="Calibri" w:eastAsia="Times New Roman" w:hAnsi="Calibri" w:cs="Times New Roman"/>
          <w:sz w:val="24"/>
          <w:szCs w:val="32"/>
          <w:lang w:eastAsia="es-ES"/>
        </w:rPr>
        <w:t xml:space="preserve">, y </w:t>
      </w:r>
      <w:r w:rsidRPr="001D3810">
        <w:rPr>
          <w:rFonts w:ascii="Calibri" w:eastAsia="Times New Roman" w:hAnsi="Calibri" w:cs="Times New Roman"/>
          <w:sz w:val="24"/>
          <w:szCs w:val="32"/>
          <w:lang w:eastAsia="es-ES"/>
        </w:rPr>
        <w:t>han ganado peso en el reparto de la renta nacional, en detrimento de la parte correspondiente a la remuneración de los asalariados.</w:t>
      </w:r>
    </w:p>
    <w:p w:rsidR="00F53215" w:rsidRPr="001D3810" w:rsidRDefault="00F53215" w:rsidP="00F53215">
      <w:pPr>
        <w:spacing w:after="0" w:line="240" w:lineRule="auto"/>
        <w:jc w:val="both"/>
        <w:rPr>
          <w:sz w:val="24"/>
          <w:szCs w:val="24"/>
        </w:rPr>
      </w:pPr>
    </w:p>
    <w:p w:rsidR="00F56753" w:rsidRPr="00ED7F30" w:rsidRDefault="00645178" w:rsidP="00F56753">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C1 </w:t>
      </w:r>
      <w:r w:rsidR="009D6463" w:rsidRPr="00ED7F30">
        <w:rPr>
          <w:b/>
          <w:i/>
          <w:color w:val="4F6228" w:themeColor="accent3" w:themeShade="80"/>
          <w:sz w:val="20"/>
          <w:szCs w:val="28"/>
        </w:rPr>
        <w:t>–</w:t>
      </w:r>
      <w:r w:rsidR="009D6463" w:rsidRPr="00ED7F30">
        <w:rPr>
          <w:b/>
          <w:i/>
          <w:color w:val="4F6228" w:themeColor="accent3" w:themeShade="80"/>
          <w:sz w:val="28"/>
          <w:szCs w:val="28"/>
        </w:rPr>
        <w:t>Escenario y previsiones macroeconómicas para Andalucía</w:t>
      </w:r>
    </w:p>
    <w:tbl>
      <w:tblPr>
        <w:tblStyle w:val="Tablaconcuadrcula"/>
        <w:tblW w:w="0" w:type="auto"/>
        <w:tblLook w:val="04A0"/>
      </w:tblPr>
      <w:tblGrid>
        <w:gridCol w:w="2660"/>
        <w:gridCol w:w="1843"/>
        <w:gridCol w:w="1980"/>
        <w:gridCol w:w="2161"/>
      </w:tblGrid>
      <w:tr w:rsidR="009D6463" w:rsidRPr="001D3810" w:rsidTr="005A66E1">
        <w:tc>
          <w:tcPr>
            <w:tcW w:w="2660" w:type="dxa"/>
          </w:tcPr>
          <w:p w:rsidR="009D6463" w:rsidRPr="00ED7F30" w:rsidRDefault="009D6463" w:rsidP="00F56753">
            <w:pPr>
              <w:jc w:val="center"/>
              <w:rPr>
                <w:color w:val="4F6228" w:themeColor="accent3" w:themeShade="80"/>
                <w:sz w:val="24"/>
                <w:szCs w:val="24"/>
              </w:rPr>
            </w:pPr>
          </w:p>
        </w:tc>
        <w:tc>
          <w:tcPr>
            <w:tcW w:w="1843" w:type="dxa"/>
            <w:tcBorders>
              <w:bottom w:val="single" w:sz="4" w:space="0" w:color="000000" w:themeColor="text1"/>
            </w:tcBorders>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2016</w:t>
            </w:r>
          </w:p>
        </w:tc>
        <w:tc>
          <w:tcPr>
            <w:tcW w:w="1980" w:type="dxa"/>
            <w:tcBorders>
              <w:bottom w:val="single" w:sz="4" w:space="0" w:color="000000" w:themeColor="text1"/>
            </w:tcBorders>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2017</w:t>
            </w:r>
          </w:p>
        </w:tc>
        <w:tc>
          <w:tcPr>
            <w:tcW w:w="2161" w:type="dxa"/>
            <w:tcBorders>
              <w:bottom w:val="single" w:sz="4" w:space="0" w:color="000000" w:themeColor="text1"/>
            </w:tcBorders>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2018</w:t>
            </w:r>
          </w:p>
        </w:tc>
      </w:tr>
      <w:tr w:rsidR="009D6463" w:rsidRPr="001D3810" w:rsidTr="005A66E1">
        <w:tc>
          <w:tcPr>
            <w:tcW w:w="2660" w:type="dxa"/>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PIB p.m.</w:t>
            </w:r>
          </w:p>
        </w:tc>
        <w:tc>
          <w:tcPr>
            <w:tcW w:w="1843"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153.072</w:t>
            </w:r>
          </w:p>
        </w:tc>
        <w:tc>
          <w:tcPr>
            <w:tcW w:w="1980"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159.807</w:t>
            </w:r>
          </w:p>
        </w:tc>
        <w:tc>
          <w:tcPr>
            <w:tcW w:w="2161"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166.679</w:t>
            </w:r>
          </w:p>
        </w:tc>
      </w:tr>
      <w:tr w:rsidR="009D6463" w:rsidRPr="001D3810" w:rsidTr="005A66E1">
        <w:tc>
          <w:tcPr>
            <w:tcW w:w="2660" w:type="dxa"/>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 Variación nominal</w:t>
            </w:r>
          </w:p>
        </w:tc>
        <w:tc>
          <w:tcPr>
            <w:tcW w:w="1843"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2,9</w:t>
            </w:r>
          </w:p>
        </w:tc>
        <w:tc>
          <w:tcPr>
            <w:tcW w:w="1980"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4,4</w:t>
            </w:r>
          </w:p>
        </w:tc>
        <w:tc>
          <w:tcPr>
            <w:tcW w:w="2161" w:type="dxa"/>
            <w:shd w:val="clear" w:color="auto" w:fill="BFBFBF" w:themeFill="background1" w:themeFillShade="BF"/>
          </w:tcPr>
          <w:p w:rsidR="009D6463" w:rsidRPr="001D3810" w:rsidRDefault="009D6463" w:rsidP="00F56753">
            <w:pPr>
              <w:jc w:val="center"/>
              <w:rPr>
                <w:sz w:val="24"/>
                <w:szCs w:val="24"/>
              </w:rPr>
            </w:pPr>
            <w:r w:rsidRPr="001D3810">
              <w:rPr>
                <w:sz w:val="24"/>
                <w:szCs w:val="24"/>
              </w:rPr>
              <w:t>4,3</w:t>
            </w:r>
          </w:p>
        </w:tc>
      </w:tr>
      <w:tr w:rsidR="009D6463" w:rsidRPr="001D3810" w:rsidTr="005A66E1">
        <w:tc>
          <w:tcPr>
            <w:tcW w:w="2660" w:type="dxa"/>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 Variación real</w:t>
            </w:r>
          </w:p>
        </w:tc>
        <w:tc>
          <w:tcPr>
            <w:tcW w:w="1843" w:type="dxa"/>
            <w:tcBorders>
              <w:bottom w:val="single" w:sz="4" w:space="0" w:color="000000" w:themeColor="text1"/>
            </w:tcBorders>
            <w:shd w:val="clear" w:color="auto" w:fill="BFBFBF" w:themeFill="background1" w:themeFillShade="BF"/>
          </w:tcPr>
          <w:p w:rsidR="009D6463" w:rsidRPr="001D3810" w:rsidRDefault="009D6463" w:rsidP="00F56753">
            <w:pPr>
              <w:jc w:val="center"/>
              <w:rPr>
                <w:sz w:val="24"/>
                <w:szCs w:val="24"/>
              </w:rPr>
            </w:pPr>
            <w:r w:rsidRPr="001D3810">
              <w:rPr>
                <w:sz w:val="24"/>
                <w:szCs w:val="24"/>
              </w:rPr>
              <w:t>2,9</w:t>
            </w:r>
          </w:p>
        </w:tc>
        <w:tc>
          <w:tcPr>
            <w:tcW w:w="1980" w:type="dxa"/>
            <w:tcBorders>
              <w:bottom w:val="single" w:sz="4" w:space="0" w:color="000000" w:themeColor="text1"/>
            </w:tcBorders>
            <w:shd w:val="clear" w:color="auto" w:fill="BFBFBF" w:themeFill="background1" w:themeFillShade="BF"/>
          </w:tcPr>
          <w:p w:rsidR="009D6463" w:rsidRPr="001D3810" w:rsidRDefault="009D6463" w:rsidP="00F56753">
            <w:pPr>
              <w:jc w:val="center"/>
              <w:rPr>
                <w:sz w:val="24"/>
                <w:szCs w:val="24"/>
              </w:rPr>
            </w:pPr>
            <w:r w:rsidRPr="001D3810">
              <w:rPr>
                <w:sz w:val="24"/>
                <w:szCs w:val="24"/>
              </w:rPr>
              <w:t>3,0</w:t>
            </w:r>
          </w:p>
        </w:tc>
        <w:tc>
          <w:tcPr>
            <w:tcW w:w="2161" w:type="dxa"/>
            <w:tcBorders>
              <w:bottom w:val="single" w:sz="4" w:space="0" w:color="000000" w:themeColor="text1"/>
            </w:tcBorders>
            <w:shd w:val="clear" w:color="auto" w:fill="BFBFBF" w:themeFill="background1" w:themeFillShade="BF"/>
          </w:tcPr>
          <w:p w:rsidR="009D6463" w:rsidRPr="001D3810" w:rsidRDefault="009D6463" w:rsidP="00F56753">
            <w:pPr>
              <w:jc w:val="center"/>
              <w:rPr>
                <w:sz w:val="24"/>
                <w:szCs w:val="24"/>
              </w:rPr>
            </w:pPr>
            <w:r w:rsidRPr="001D3810">
              <w:rPr>
                <w:sz w:val="24"/>
                <w:szCs w:val="24"/>
              </w:rPr>
              <w:t>2,6</w:t>
            </w:r>
          </w:p>
        </w:tc>
      </w:tr>
      <w:tr w:rsidR="009D6463" w:rsidRPr="001D3810" w:rsidTr="005A66E1">
        <w:tc>
          <w:tcPr>
            <w:tcW w:w="2660" w:type="dxa"/>
          </w:tcPr>
          <w:p w:rsidR="009D6463" w:rsidRPr="00ED7F30" w:rsidRDefault="009D6463" w:rsidP="00F56753">
            <w:pPr>
              <w:jc w:val="center"/>
              <w:rPr>
                <w:b/>
                <w:color w:val="4F6228" w:themeColor="accent3" w:themeShade="80"/>
                <w:sz w:val="24"/>
                <w:szCs w:val="24"/>
              </w:rPr>
            </w:pPr>
            <w:r w:rsidRPr="00ED7F30">
              <w:rPr>
                <w:b/>
                <w:color w:val="4F6228" w:themeColor="accent3" w:themeShade="80"/>
                <w:sz w:val="24"/>
                <w:szCs w:val="24"/>
              </w:rPr>
              <w:t>Puestos de trabajo</w:t>
            </w:r>
          </w:p>
        </w:tc>
        <w:tc>
          <w:tcPr>
            <w:tcW w:w="1843" w:type="dxa"/>
            <w:shd w:val="clear" w:color="auto" w:fill="A6A6A6" w:themeFill="background1" w:themeFillShade="A6"/>
          </w:tcPr>
          <w:p w:rsidR="009D6463" w:rsidRPr="001D3810" w:rsidRDefault="009D6463" w:rsidP="00F56753">
            <w:pPr>
              <w:jc w:val="center"/>
              <w:rPr>
                <w:sz w:val="24"/>
                <w:szCs w:val="24"/>
              </w:rPr>
            </w:pPr>
            <w:r w:rsidRPr="001D3810">
              <w:rPr>
                <w:sz w:val="24"/>
                <w:szCs w:val="24"/>
              </w:rPr>
              <w:t>2.998.004</w:t>
            </w:r>
          </w:p>
        </w:tc>
        <w:tc>
          <w:tcPr>
            <w:tcW w:w="1980" w:type="dxa"/>
            <w:shd w:val="clear" w:color="auto" w:fill="A6A6A6" w:themeFill="background1" w:themeFillShade="A6"/>
          </w:tcPr>
          <w:p w:rsidR="009D6463" w:rsidRPr="001D3810" w:rsidRDefault="009D6463" w:rsidP="00F56753">
            <w:pPr>
              <w:jc w:val="center"/>
              <w:rPr>
                <w:sz w:val="24"/>
                <w:szCs w:val="24"/>
              </w:rPr>
            </w:pPr>
            <w:r w:rsidRPr="001D3810">
              <w:rPr>
                <w:sz w:val="24"/>
                <w:szCs w:val="24"/>
              </w:rPr>
              <w:t>3.093.904</w:t>
            </w:r>
          </w:p>
        </w:tc>
        <w:tc>
          <w:tcPr>
            <w:tcW w:w="2161" w:type="dxa"/>
            <w:shd w:val="clear" w:color="auto" w:fill="A6A6A6" w:themeFill="background1" w:themeFillShade="A6"/>
          </w:tcPr>
          <w:p w:rsidR="009D6463" w:rsidRPr="001D3810" w:rsidRDefault="009D6463" w:rsidP="00F56753">
            <w:pPr>
              <w:jc w:val="center"/>
              <w:rPr>
                <w:sz w:val="24"/>
                <w:szCs w:val="24"/>
              </w:rPr>
            </w:pPr>
            <w:r w:rsidRPr="001D3810">
              <w:rPr>
                <w:sz w:val="24"/>
                <w:szCs w:val="24"/>
              </w:rPr>
              <w:t>3.174.304</w:t>
            </w:r>
          </w:p>
        </w:tc>
      </w:tr>
      <w:tr w:rsidR="009D6463" w:rsidRPr="001D3810" w:rsidTr="005A66E1">
        <w:tc>
          <w:tcPr>
            <w:tcW w:w="2660" w:type="dxa"/>
          </w:tcPr>
          <w:p w:rsidR="009D6463" w:rsidRPr="00ED7F30" w:rsidRDefault="00411683" w:rsidP="00F56753">
            <w:pPr>
              <w:jc w:val="center"/>
              <w:rPr>
                <w:b/>
                <w:color w:val="4F6228" w:themeColor="accent3" w:themeShade="80"/>
                <w:sz w:val="24"/>
                <w:szCs w:val="24"/>
              </w:rPr>
            </w:pPr>
            <w:r w:rsidRPr="00ED7F30">
              <w:rPr>
                <w:b/>
                <w:color w:val="4F6228" w:themeColor="accent3" w:themeShade="80"/>
                <w:sz w:val="24"/>
                <w:szCs w:val="24"/>
              </w:rPr>
              <w:t>Variación absoluta</w:t>
            </w:r>
          </w:p>
        </w:tc>
        <w:tc>
          <w:tcPr>
            <w:tcW w:w="1843" w:type="dxa"/>
            <w:shd w:val="clear" w:color="auto" w:fill="A6A6A6" w:themeFill="background1" w:themeFillShade="A6"/>
          </w:tcPr>
          <w:p w:rsidR="009D6463" w:rsidRPr="001D3810" w:rsidRDefault="00411683" w:rsidP="00F56753">
            <w:pPr>
              <w:jc w:val="center"/>
              <w:rPr>
                <w:sz w:val="24"/>
                <w:szCs w:val="24"/>
              </w:rPr>
            </w:pPr>
            <w:r w:rsidRPr="001D3810">
              <w:rPr>
                <w:sz w:val="24"/>
                <w:szCs w:val="24"/>
              </w:rPr>
              <w:t>66.428</w:t>
            </w:r>
          </w:p>
        </w:tc>
        <w:tc>
          <w:tcPr>
            <w:tcW w:w="1980" w:type="dxa"/>
            <w:shd w:val="clear" w:color="auto" w:fill="A6A6A6" w:themeFill="background1" w:themeFillShade="A6"/>
          </w:tcPr>
          <w:p w:rsidR="009D6463" w:rsidRPr="001D3810" w:rsidRDefault="00411683" w:rsidP="00F56753">
            <w:pPr>
              <w:jc w:val="center"/>
              <w:rPr>
                <w:sz w:val="24"/>
                <w:szCs w:val="24"/>
              </w:rPr>
            </w:pPr>
            <w:r w:rsidRPr="001D3810">
              <w:rPr>
                <w:sz w:val="24"/>
                <w:szCs w:val="24"/>
              </w:rPr>
              <w:t>95.900</w:t>
            </w:r>
          </w:p>
        </w:tc>
        <w:tc>
          <w:tcPr>
            <w:tcW w:w="2161" w:type="dxa"/>
            <w:shd w:val="clear" w:color="auto" w:fill="A6A6A6" w:themeFill="background1" w:themeFillShade="A6"/>
          </w:tcPr>
          <w:p w:rsidR="009D6463" w:rsidRPr="001D3810" w:rsidRDefault="00411683" w:rsidP="00F56753">
            <w:pPr>
              <w:jc w:val="center"/>
              <w:rPr>
                <w:sz w:val="24"/>
                <w:szCs w:val="24"/>
              </w:rPr>
            </w:pPr>
            <w:r w:rsidRPr="001D3810">
              <w:rPr>
                <w:sz w:val="24"/>
                <w:szCs w:val="24"/>
              </w:rPr>
              <w:t>80.400</w:t>
            </w:r>
          </w:p>
        </w:tc>
      </w:tr>
      <w:tr w:rsidR="009D6463" w:rsidRPr="001D3810" w:rsidTr="005A66E1">
        <w:tc>
          <w:tcPr>
            <w:tcW w:w="2660" w:type="dxa"/>
          </w:tcPr>
          <w:p w:rsidR="009D6463" w:rsidRPr="00ED7F30" w:rsidRDefault="00411683" w:rsidP="00F56753">
            <w:pPr>
              <w:jc w:val="center"/>
              <w:rPr>
                <w:b/>
                <w:color w:val="4F6228" w:themeColor="accent3" w:themeShade="80"/>
                <w:sz w:val="24"/>
                <w:szCs w:val="24"/>
              </w:rPr>
            </w:pPr>
            <w:r w:rsidRPr="00ED7F30">
              <w:rPr>
                <w:b/>
                <w:color w:val="4F6228" w:themeColor="accent3" w:themeShade="80"/>
                <w:sz w:val="24"/>
                <w:szCs w:val="24"/>
              </w:rPr>
              <w:t>Variación relativa</w:t>
            </w:r>
          </w:p>
        </w:tc>
        <w:tc>
          <w:tcPr>
            <w:tcW w:w="1843" w:type="dxa"/>
            <w:tcBorders>
              <w:bottom w:val="single" w:sz="4" w:space="0" w:color="000000" w:themeColor="text1"/>
            </w:tcBorders>
            <w:shd w:val="clear" w:color="auto" w:fill="A6A6A6" w:themeFill="background1" w:themeFillShade="A6"/>
          </w:tcPr>
          <w:p w:rsidR="009D6463" w:rsidRPr="001D3810" w:rsidRDefault="00A82723" w:rsidP="00F56753">
            <w:pPr>
              <w:jc w:val="center"/>
              <w:rPr>
                <w:sz w:val="24"/>
                <w:szCs w:val="24"/>
              </w:rPr>
            </w:pPr>
            <w:r w:rsidRPr="001D3810">
              <w:rPr>
                <w:sz w:val="24"/>
                <w:szCs w:val="24"/>
              </w:rPr>
              <w:t>2,3</w:t>
            </w:r>
          </w:p>
        </w:tc>
        <w:tc>
          <w:tcPr>
            <w:tcW w:w="1980" w:type="dxa"/>
            <w:tcBorders>
              <w:bottom w:val="single" w:sz="4" w:space="0" w:color="000000" w:themeColor="text1"/>
            </w:tcBorders>
            <w:shd w:val="clear" w:color="auto" w:fill="A6A6A6" w:themeFill="background1" w:themeFillShade="A6"/>
          </w:tcPr>
          <w:p w:rsidR="009D6463" w:rsidRPr="001D3810" w:rsidRDefault="00A82723" w:rsidP="00F56753">
            <w:pPr>
              <w:jc w:val="center"/>
              <w:rPr>
                <w:sz w:val="24"/>
                <w:szCs w:val="24"/>
              </w:rPr>
            </w:pPr>
            <w:r w:rsidRPr="001D3810">
              <w:rPr>
                <w:sz w:val="24"/>
                <w:szCs w:val="24"/>
              </w:rPr>
              <w:t>3,2</w:t>
            </w:r>
          </w:p>
        </w:tc>
        <w:tc>
          <w:tcPr>
            <w:tcW w:w="2161" w:type="dxa"/>
            <w:tcBorders>
              <w:bottom w:val="single" w:sz="4" w:space="0" w:color="000000" w:themeColor="text1"/>
            </w:tcBorders>
            <w:shd w:val="clear" w:color="auto" w:fill="A6A6A6" w:themeFill="background1" w:themeFillShade="A6"/>
          </w:tcPr>
          <w:p w:rsidR="009D6463" w:rsidRPr="001D3810" w:rsidRDefault="00A82723" w:rsidP="00F56753">
            <w:pPr>
              <w:jc w:val="center"/>
              <w:rPr>
                <w:sz w:val="24"/>
                <w:szCs w:val="24"/>
              </w:rPr>
            </w:pPr>
            <w:r w:rsidRPr="001D3810">
              <w:rPr>
                <w:sz w:val="24"/>
                <w:szCs w:val="24"/>
              </w:rPr>
              <w:t>2,6</w:t>
            </w:r>
          </w:p>
        </w:tc>
      </w:tr>
      <w:tr w:rsidR="009D6463" w:rsidRPr="001D3810" w:rsidTr="005A66E1">
        <w:tc>
          <w:tcPr>
            <w:tcW w:w="2660" w:type="dxa"/>
          </w:tcPr>
          <w:p w:rsidR="009D6463" w:rsidRPr="00ED7F30" w:rsidRDefault="00AB7B5C" w:rsidP="00F56753">
            <w:pPr>
              <w:jc w:val="center"/>
              <w:rPr>
                <w:b/>
                <w:color w:val="4F6228" w:themeColor="accent3" w:themeShade="80"/>
                <w:sz w:val="24"/>
                <w:szCs w:val="24"/>
              </w:rPr>
            </w:pPr>
            <w:r w:rsidRPr="00ED7F30">
              <w:rPr>
                <w:b/>
                <w:color w:val="4F6228" w:themeColor="accent3" w:themeShade="80"/>
                <w:sz w:val="24"/>
                <w:szCs w:val="24"/>
              </w:rPr>
              <w:t>Analistas Económicos</w:t>
            </w:r>
          </w:p>
        </w:tc>
        <w:tc>
          <w:tcPr>
            <w:tcW w:w="1843" w:type="dxa"/>
            <w:shd w:val="clear" w:color="auto" w:fill="BFBFBF" w:themeFill="background1" w:themeFillShade="BF"/>
          </w:tcPr>
          <w:p w:rsidR="009D6463" w:rsidRPr="001D3810" w:rsidRDefault="00AB7B5C" w:rsidP="00F56753">
            <w:pPr>
              <w:jc w:val="center"/>
              <w:rPr>
                <w:sz w:val="24"/>
                <w:szCs w:val="24"/>
              </w:rPr>
            </w:pPr>
            <w:r w:rsidRPr="001D3810">
              <w:rPr>
                <w:sz w:val="24"/>
                <w:szCs w:val="24"/>
              </w:rPr>
              <w:t>-</w:t>
            </w:r>
          </w:p>
        </w:tc>
        <w:tc>
          <w:tcPr>
            <w:tcW w:w="1980" w:type="dxa"/>
            <w:shd w:val="clear" w:color="auto" w:fill="BFBFBF" w:themeFill="background1" w:themeFillShade="BF"/>
          </w:tcPr>
          <w:p w:rsidR="009D6463" w:rsidRPr="001D3810" w:rsidRDefault="00AB7B5C" w:rsidP="00F56753">
            <w:pPr>
              <w:jc w:val="center"/>
              <w:rPr>
                <w:sz w:val="24"/>
                <w:szCs w:val="24"/>
              </w:rPr>
            </w:pPr>
            <w:r w:rsidRPr="001D3810">
              <w:rPr>
                <w:sz w:val="24"/>
                <w:szCs w:val="24"/>
              </w:rPr>
              <w:t>2,8</w:t>
            </w:r>
          </w:p>
        </w:tc>
        <w:tc>
          <w:tcPr>
            <w:tcW w:w="2161" w:type="dxa"/>
            <w:shd w:val="clear" w:color="auto" w:fill="BFBFBF" w:themeFill="background1" w:themeFillShade="BF"/>
          </w:tcPr>
          <w:p w:rsidR="009D6463" w:rsidRPr="001D3810" w:rsidRDefault="00AB7B5C" w:rsidP="00F56753">
            <w:pPr>
              <w:jc w:val="center"/>
              <w:rPr>
                <w:sz w:val="24"/>
                <w:szCs w:val="24"/>
              </w:rPr>
            </w:pPr>
            <w:r w:rsidRPr="001D3810">
              <w:rPr>
                <w:sz w:val="24"/>
                <w:szCs w:val="24"/>
              </w:rPr>
              <w:t>-</w:t>
            </w:r>
          </w:p>
        </w:tc>
      </w:tr>
      <w:tr w:rsidR="009D6463" w:rsidRPr="001D3810" w:rsidTr="005A66E1">
        <w:tc>
          <w:tcPr>
            <w:tcW w:w="2660" w:type="dxa"/>
          </w:tcPr>
          <w:p w:rsidR="009D6463" w:rsidRPr="00ED7F30" w:rsidRDefault="00AB7B5C" w:rsidP="00F56753">
            <w:pPr>
              <w:jc w:val="center"/>
              <w:rPr>
                <w:b/>
                <w:color w:val="4F6228" w:themeColor="accent3" w:themeShade="80"/>
                <w:sz w:val="24"/>
                <w:szCs w:val="24"/>
              </w:rPr>
            </w:pPr>
            <w:r w:rsidRPr="00ED7F30">
              <w:rPr>
                <w:b/>
                <w:color w:val="4F6228" w:themeColor="accent3" w:themeShade="80"/>
                <w:sz w:val="24"/>
                <w:szCs w:val="24"/>
              </w:rPr>
              <w:t>BBVA</w:t>
            </w:r>
          </w:p>
        </w:tc>
        <w:tc>
          <w:tcPr>
            <w:tcW w:w="1843" w:type="dxa"/>
            <w:shd w:val="clear" w:color="auto" w:fill="BFBFBF" w:themeFill="background1" w:themeFillShade="BF"/>
          </w:tcPr>
          <w:p w:rsidR="009D6463" w:rsidRPr="001D3810" w:rsidRDefault="00C87E18" w:rsidP="00F56753">
            <w:pPr>
              <w:jc w:val="center"/>
              <w:rPr>
                <w:sz w:val="24"/>
                <w:szCs w:val="24"/>
              </w:rPr>
            </w:pPr>
            <w:r w:rsidRPr="001D3810">
              <w:rPr>
                <w:sz w:val="24"/>
                <w:szCs w:val="24"/>
              </w:rPr>
              <w:t>-</w:t>
            </w:r>
          </w:p>
        </w:tc>
        <w:tc>
          <w:tcPr>
            <w:tcW w:w="1980" w:type="dxa"/>
            <w:shd w:val="clear" w:color="auto" w:fill="BFBFBF" w:themeFill="background1" w:themeFillShade="BF"/>
          </w:tcPr>
          <w:p w:rsidR="009D6463" w:rsidRPr="001D3810" w:rsidRDefault="00C87E18" w:rsidP="00F56753">
            <w:pPr>
              <w:jc w:val="center"/>
              <w:rPr>
                <w:sz w:val="24"/>
                <w:szCs w:val="24"/>
              </w:rPr>
            </w:pPr>
            <w:r w:rsidRPr="001D3810">
              <w:rPr>
                <w:sz w:val="24"/>
                <w:szCs w:val="24"/>
              </w:rPr>
              <w:t>3,5</w:t>
            </w:r>
          </w:p>
        </w:tc>
        <w:tc>
          <w:tcPr>
            <w:tcW w:w="2161" w:type="dxa"/>
            <w:shd w:val="clear" w:color="auto" w:fill="BFBFBF" w:themeFill="background1" w:themeFillShade="BF"/>
          </w:tcPr>
          <w:p w:rsidR="009D6463" w:rsidRPr="001D3810" w:rsidRDefault="00C87E18" w:rsidP="00F56753">
            <w:pPr>
              <w:jc w:val="center"/>
              <w:rPr>
                <w:sz w:val="24"/>
                <w:szCs w:val="24"/>
              </w:rPr>
            </w:pPr>
            <w:r w:rsidRPr="001D3810">
              <w:rPr>
                <w:sz w:val="24"/>
                <w:szCs w:val="24"/>
              </w:rPr>
              <w:t>2,7</w:t>
            </w:r>
          </w:p>
        </w:tc>
      </w:tr>
      <w:tr w:rsidR="005A66E1" w:rsidRPr="001D3810" w:rsidTr="005A66E1">
        <w:tc>
          <w:tcPr>
            <w:tcW w:w="2660" w:type="dxa"/>
          </w:tcPr>
          <w:p w:rsidR="005A66E1" w:rsidRPr="00ED7F30" w:rsidRDefault="005A66E1" w:rsidP="00F56753">
            <w:pPr>
              <w:jc w:val="center"/>
              <w:rPr>
                <w:b/>
                <w:color w:val="4F6228" w:themeColor="accent3" w:themeShade="80"/>
                <w:sz w:val="24"/>
                <w:szCs w:val="24"/>
              </w:rPr>
            </w:pPr>
            <w:r w:rsidRPr="00ED7F30">
              <w:rPr>
                <w:b/>
                <w:color w:val="4F6228" w:themeColor="accent3" w:themeShade="80"/>
                <w:sz w:val="24"/>
                <w:szCs w:val="24"/>
              </w:rPr>
              <w:t>CEPREDE</w:t>
            </w:r>
          </w:p>
        </w:tc>
        <w:tc>
          <w:tcPr>
            <w:tcW w:w="1843"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w:t>
            </w:r>
          </w:p>
        </w:tc>
        <w:tc>
          <w:tcPr>
            <w:tcW w:w="1980"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2,6</w:t>
            </w:r>
          </w:p>
        </w:tc>
        <w:tc>
          <w:tcPr>
            <w:tcW w:w="2161"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w:t>
            </w:r>
          </w:p>
        </w:tc>
      </w:tr>
      <w:tr w:rsidR="005A66E1" w:rsidRPr="001D3810" w:rsidTr="005A66E1">
        <w:tc>
          <w:tcPr>
            <w:tcW w:w="2660" w:type="dxa"/>
          </w:tcPr>
          <w:p w:rsidR="005A66E1" w:rsidRPr="00ED7F30" w:rsidRDefault="005A66E1" w:rsidP="00F56753">
            <w:pPr>
              <w:jc w:val="center"/>
              <w:rPr>
                <w:b/>
                <w:color w:val="4F6228" w:themeColor="accent3" w:themeShade="80"/>
                <w:sz w:val="24"/>
                <w:szCs w:val="24"/>
              </w:rPr>
            </w:pPr>
            <w:r w:rsidRPr="00ED7F30">
              <w:rPr>
                <w:b/>
                <w:color w:val="4F6228" w:themeColor="accent3" w:themeShade="80"/>
                <w:sz w:val="24"/>
                <w:szCs w:val="24"/>
              </w:rPr>
              <w:t>FUNCAS</w:t>
            </w:r>
          </w:p>
        </w:tc>
        <w:tc>
          <w:tcPr>
            <w:tcW w:w="1843"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w:t>
            </w:r>
          </w:p>
        </w:tc>
        <w:tc>
          <w:tcPr>
            <w:tcW w:w="1980"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2,6</w:t>
            </w:r>
          </w:p>
        </w:tc>
        <w:tc>
          <w:tcPr>
            <w:tcW w:w="2161"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w:t>
            </w:r>
          </w:p>
        </w:tc>
      </w:tr>
      <w:tr w:rsidR="005A66E1" w:rsidRPr="001D3810" w:rsidTr="005A66E1">
        <w:tc>
          <w:tcPr>
            <w:tcW w:w="2660" w:type="dxa"/>
          </w:tcPr>
          <w:p w:rsidR="005A66E1" w:rsidRPr="00ED7F30" w:rsidRDefault="005A66E1" w:rsidP="00F56753">
            <w:pPr>
              <w:jc w:val="center"/>
              <w:rPr>
                <w:b/>
                <w:color w:val="4F6228" w:themeColor="accent3" w:themeShade="80"/>
                <w:sz w:val="24"/>
                <w:szCs w:val="24"/>
              </w:rPr>
            </w:pPr>
            <w:r w:rsidRPr="00ED7F30">
              <w:rPr>
                <w:b/>
                <w:color w:val="4F6228" w:themeColor="accent3" w:themeShade="80"/>
                <w:sz w:val="24"/>
                <w:szCs w:val="24"/>
              </w:rPr>
              <w:t>Hispalink</w:t>
            </w:r>
          </w:p>
        </w:tc>
        <w:tc>
          <w:tcPr>
            <w:tcW w:w="1843"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w:t>
            </w:r>
          </w:p>
        </w:tc>
        <w:tc>
          <w:tcPr>
            <w:tcW w:w="1980"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2,7</w:t>
            </w:r>
          </w:p>
        </w:tc>
        <w:tc>
          <w:tcPr>
            <w:tcW w:w="2161" w:type="dxa"/>
            <w:shd w:val="clear" w:color="auto" w:fill="BFBFBF" w:themeFill="background1" w:themeFillShade="BF"/>
          </w:tcPr>
          <w:p w:rsidR="005A66E1" w:rsidRPr="001D3810" w:rsidRDefault="005A66E1" w:rsidP="00F56753">
            <w:pPr>
              <w:jc w:val="center"/>
              <w:rPr>
                <w:sz w:val="24"/>
                <w:szCs w:val="24"/>
              </w:rPr>
            </w:pPr>
            <w:r w:rsidRPr="001D3810">
              <w:rPr>
                <w:sz w:val="24"/>
                <w:szCs w:val="24"/>
              </w:rPr>
              <w:t>2,5</w:t>
            </w:r>
          </w:p>
        </w:tc>
      </w:tr>
      <w:tr w:rsidR="005A66E1" w:rsidRPr="001D3810" w:rsidTr="005A66E1">
        <w:tc>
          <w:tcPr>
            <w:tcW w:w="2660" w:type="dxa"/>
          </w:tcPr>
          <w:p w:rsidR="005A66E1" w:rsidRPr="00ED7F30" w:rsidRDefault="005A66E1" w:rsidP="00F56753">
            <w:pPr>
              <w:jc w:val="center"/>
              <w:rPr>
                <w:b/>
                <w:color w:val="4F6228" w:themeColor="accent3" w:themeShade="80"/>
                <w:sz w:val="24"/>
                <w:szCs w:val="24"/>
              </w:rPr>
            </w:pPr>
            <w:r w:rsidRPr="00ED7F30">
              <w:rPr>
                <w:b/>
                <w:color w:val="4F6228" w:themeColor="accent3" w:themeShade="80"/>
                <w:sz w:val="24"/>
                <w:szCs w:val="24"/>
              </w:rPr>
              <w:t>Observatorio Económico de Andalucía</w:t>
            </w:r>
          </w:p>
        </w:tc>
        <w:tc>
          <w:tcPr>
            <w:tcW w:w="1843" w:type="dxa"/>
            <w:shd w:val="clear" w:color="auto" w:fill="BFBFBF" w:themeFill="background1" w:themeFillShade="BF"/>
          </w:tcPr>
          <w:p w:rsidR="005A66E1" w:rsidRPr="001D3810" w:rsidRDefault="005A66E1" w:rsidP="00F56753">
            <w:pPr>
              <w:jc w:val="center"/>
              <w:rPr>
                <w:sz w:val="24"/>
                <w:szCs w:val="24"/>
              </w:rPr>
            </w:pPr>
          </w:p>
          <w:p w:rsidR="005A66E1" w:rsidRPr="001D3810" w:rsidRDefault="005A66E1" w:rsidP="00F56753">
            <w:pPr>
              <w:jc w:val="center"/>
              <w:rPr>
                <w:sz w:val="24"/>
                <w:szCs w:val="24"/>
              </w:rPr>
            </w:pPr>
            <w:r w:rsidRPr="001D3810">
              <w:rPr>
                <w:sz w:val="24"/>
                <w:szCs w:val="24"/>
              </w:rPr>
              <w:t>-</w:t>
            </w:r>
          </w:p>
        </w:tc>
        <w:tc>
          <w:tcPr>
            <w:tcW w:w="1980" w:type="dxa"/>
            <w:shd w:val="clear" w:color="auto" w:fill="BFBFBF" w:themeFill="background1" w:themeFillShade="BF"/>
          </w:tcPr>
          <w:p w:rsidR="005A66E1" w:rsidRPr="001D3810" w:rsidRDefault="005A66E1" w:rsidP="00F56753">
            <w:pPr>
              <w:jc w:val="center"/>
              <w:rPr>
                <w:sz w:val="24"/>
                <w:szCs w:val="24"/>
              </w:rPr>
            </w:pPr>
          </w:p>
          <w:p w:rsidR="005A66E1" w:rsidRPr="001D3810" w:rsidRDefault="005A66E1" w:rsidP="00F56753">
            <w:pPr>
              <w:jc w:val="center"/>
              <w:rPr>
                <w:sz w:val="24"/>
                <w:szCs w:val="24"/>
              </w:rPr>
            </w:pPr>
            <w:r w:rsidRPr="001D3810">
              <w:rPr>
                <w:sz w:val="24"/>
                <w:szCs w:val="24"/>
              </w:rPr>
              <w:t>2,9</w:t>
            </w:r>
          </w:p>
        </w:tc>
        <w:tc>
          <w:tcPr>
            <w:tcW w:w="2161" w:type="dxa"/>
            <w:shd w:val="clear" w:color="auto" w:fill="BFBFBF" w:themeFill="background1" w:themeFillShade="BF"/>
          </w:tcPr>
          <w:p w:rsidR="005A66E1" w:rsidRPr="001D3810" w:rsidRDefault="005A66E1" w:rsidP="00F56753">
            <w:pPr>
              <w:jc w:val="center"/>
              <w:rPr>
                <w:sz w:val="24"/>
                <w:szCs w:val="24"/>
              </w:rPr>
            </w:pPr>
          </w:p>
          <w:p w:rsidR="005A66E1" w:rsidRPr="001D3810" w:rsidRDefault="005A66E1" w:rsidP="00F56753">
            <w:pPr>
              <w:jc w:val="center"/>
              <w:rPr>
                <w:sz w:val="24"/>
                <w:szCs w:val="24"/>
              </w:rPr>
            </w:pPr>
            <w:r w:rsidRPr="001D3810">
              <w:rPr>
                <w:sz w:val="24"/>
                <w:szCs w:val="24"/>
              </w:rPr>
              <w:t>-</w:t>
            </w:r>
          </w:p>
        </w:tc>
      </w:tr>
      <w:tr w:rsidR="009D6463" w:rsidRPr="001D3810" w:rsidTr="005A66E1">
        <w:tc>
          <w:tcPr>
            <w:tcW w:w="2660" w:type="dxa"/>
          </w:tcPr>
          <w:p w:rsidR="009D6463" w:rsidRPr="00ED7F30" w:rsidRDefault="005A66E1" w:rsidP="00F56753">
            <w:pPr>
              <w:jc w:val="center"/>
              <w:rPr>
                <w:b/>
                <w:color w:val="4F6228" w:themeColor="accent3" w:themeShade="80"/>
                <w:sz w:val="24"/>
                <w:szCs w:val="24"/>
              </w:rPr>
            </w:pPr>
            <w:r w:rsidRPr="00ED7F30">
              <w:rPr>
                <w:b/>
                <w:color w:val="4F6228" w:themeColor="accent3" w:themeShade="80"/>
                <w:sz w:val="24"/>
                <w:szCs w:val="24"/>
              </w:rPr>
              <w:t>Universidad Loyola Andalucía</w:t>
            </w:r>
          </w:p>
        </w:tc>
        <w:tc>
          <w:tcPr>
            <w:tcW w:w="1843" w:type="dxa"/>
            <w:shd w:val="clear" w:color="auto" w:fill="BFBFBF" w:themeFill="background1" w:themeFillShade="BF"/>
          </w:tcPr>
          <w:p w:rsidR="009D6463" w:rsidRPr="001D3810" w:rsidRDefault="009D6463" w:rsidP="00F56753">
            <w:pPr>
              <w:jc w:val="center"/>
              <w:rPr>
                <w:sz w:val="24"/>
                <w:szCs w:val="24"/>
              </w:rPr>
            </w:pPr>
          </w:p>
          <w:p w:rsidR="005A66E1" w:rsidRPr="001D3810" w:rsidRDefault="005A66E1" w:rsidP="00F56753">
            <w:pPr>
              <w:jc w:val="center"/>
              <w:rPr>
                <w:sz w:val="24"/>
                <w:szCs w:val="24"/>
              </w:rPr>
            </w:pPr>
            <w:r w:rsidRPr="001D3810">
              <w:rPr>
                <w:sz w:val="24"/>
                <w:szCs w:val="24"/>
              </w:rPr>
              <w:t>-</w:t>
            </w:r>
          </w:p>
        </w:tc>
        <w:tc>
          <w:tcPr>
            <w:tcW w:w="1980" w:type="dxa"/>
            <w:shd w:val="clear" w:color="auto" w:fill="BFBFBF" w:themeFill="background1" w:themeFillShade="BF"/>
          </w:tcPr>
          <w:p w:rsidR="009D6463" w:rsidRPr="001D3810" w:rsidRDefault="009D6463" w:rsidP="00F56753">
            <w:pPr>
              <w:jc w:val="center"/>
              <w:rPr>
                <w:sz w:val="24"/>
                <w:szCs w:val="24"/>
              </w:rPr>
            </w:pPr>
          </w:p>
          <w:p w:rsidR="005A66E1" w:rsidRPr="001D3810" w:rsidRDefault="005A66E1" w:rsidP="00F56753">
            <w:pPr>
              <w:jc w:val="center"/>
              <w:rPr>
                <w:sz w:val="24"/>
                <w:szCs w:val="24"/>
              </w:rPr>
            </w:pPr>
            <w:r w:rsidRPr="001D3810">
              <w:rPr>
                <w:sz w:val="24"/>
                <w:szCs w:val="24"/>
              </w:rPr>
              <w:t>2,8</w:t>
            </w:r>
          </w:p>
        </w:tc>
        <w:tc>
          <w:tcPr>
            <w:tcW w:w="2161" w:type="dxa"/>
            <w:shd w:val="clear" w:color="auto" w:fill="BFBFBF" w:themeFill="background1" w:themeFillShade="BF"/>
          </w:tcPr>
          <w:p w:rsidR="005A66E1" w:rsidRPr="001D3810" w:rsidRDefault="005A66E1" w:rsidP="005A66E1">
            <w:pPr>
              <w:rPr>
                <w:sz w:val="24"/>
                <w:szCs w:val="24"/>
              </w:rPr>
            </w:pPr>
          </w:p>
          <w:p w:rsidR="005A66E1" w:rsidRPr="001D3810" w:rsidRDefault="005A66E1" w:rsidP="005A66E1">
            <w:pPr>
              <w:jc w:val="center"/>
              <w:rPr>
                <w:sz w:val="24"/>
                <w:szCs w:val="24"/>
              </w:rPr>
            </w:pPr>
            <w:r w:rsidRPr="001D3810">
              <w:rPr>
                <w:sz w:val="24"/>
                <w:szCs w:val="24"/>
              </w:rPr>
              <w:t>-</w:t>
            </w:r>
          </w:p>
        </w:tc>
      </w:tr>
    </w:tbl>
    <w:p w:rsidR="00F56753" w:rsidRPr="001D3810" w:rsidRDefault="00F56753" w:rsidP="00F56753">
      <w:pPr>
        <w:spacing w:after="0" w:line="240" w:lineRule="auto"/>
        <w:jc w:val="center"/>
        <w:rPr>
          <w:sz w:val="24"/>
          <w:szCs w:val="24"/>
        </w:rPr>
      </w:pPr>
    </w:p>
    <w:p w:rsidR="00E17C22" w:rsidRPr="00ED7F30" w:rsidRDefault="00F56753" w:rsidP="00B70445">
      <w:pPr>
        <w:spacing w:after="0" w:line="240" w:lineRule="auto"/>
        <w:ind w:left="567" w:right="566"/>
        <w:jc w:val="both"/>
        <w:rPr>
          <w:i/>
          <w:color w:val="4F6228" w:themeColor="accent3" w:themeShade="80"/>
          <w:sz w:val="18"/>
          <w:szCs w:val="18"/>
        </w:rPr>
      </w:pPr>
      <w:r w:rsidRPr="00ED7F30">
        <w:rPr>
          <w:i/>
          <w:color w:val="4F6228" w:themeColor="accent3" w:themeShade="80"/>
          <w:sz w:val="18"/>
          <w:szCs w:val="18"/>
        </w:rPr>
        <w:t xml:space="preserve">Fuente: </w:t>
      </w:r>
      <w:r w:rsidR="005A66E1" w:rsidRPr="00ED7F30">
        <w:rPr>
          <w:i/>
          <w:color w:val="4F6228" w:themeColor="accent3" w:themeShade="80"/>
          <w:sz w:val="18"/>
          <w:szCs w:val="18"/>
        </w:rPr>
        <w:t>Presupuestos Junta de Andalucía 2018</w:t>
      </w:r>
    </w:p>
    <w:p w:rsidR="00F56753" w:rsidRPr="001D3810" w:rsidRDefault="00F56753" w:rsidP="001B6257">
      <w:pPr>
        <w:spacing w:after="0" w:line="240" w:lineRule="auto"/>
        <w:jc w:val="both"/>
        <w:rPr>
          <w:sz w:val="24"/>
          <w:szCs w:val="24"/>
        </w:rPr>
      </w:pPr>
    </w:p>
    <w:p w:rsidR="00A93B85" w:rsidRPr="001D3810" w:rsidRDefault="00A93B85" w:rsidP="00D625E6">
      <w:pPr>
        <w:spacing w:after="0" w:line="240" w:lineRule="auto"/>
        <w:jc w:val="both"/>
        <w:rPr>
          <w:sz w:val="24"/>
          <w:szCs w:val="24"/>
        </w:rPr>
      </w:pPr>
      <w:r w:rsidRPr="001D3810">
        <w:rPr>
          <w:sz w:val="24"/>
          <w:szCs w:val="24"/>
        </w:rPr>
        <w:t>El crecimiento de la actividad en España</w:t>
      </w:r>
      <w:r w:rsidR="005A66E1" w:rsidRPr="001D3810">
        <w:rPr>
          <w:sz w:val="24"/>
          <w:szCs w:val="24"/>
        </w:rPr>
        <w:t xml:space="preserve"> y, especialmente en Andalucía,</w:t>
      </w:r>
      <w:r w:rsidRPr="001D3810">
        <w:rPr>
          <w:sz w:val="24"/>
          <w:szCs w:val="24"/>
        </w:rPr>
        <w:t xml:space="preserve"> sigue trasladándose de manera muy intensa a creación de empleo, como suele suceder en nuestra economía, registrando tasas de aumento muy </w:t>
      </w:r>
      <w:r w:rsidR="00350DF0" w:rsidRPr="001D3810">
        <w:rPr>
          <w:sz w:val="24"/>
          <w:szCs w:val="24"/>
        </w:rPr>
        <w:t>similares</w:t>
      </w:r>
      <w:r w:rsidRPr="001D3810">
        <w:rPr>
          <w:sz w:val="24"/>
          <w:szCs w:val="24"/>
        </w:rPr>
        <w:t xml:space="preserve">. Por ello, </w:t>
      </w:r>
      <w:r w:rsidRPr="00ED7F30">
        <w:rPr>
          <w:b/>
          <w:color w:val="4F6228" w:themeColor="accent3" w:themeShade="80"/>
          <w:sz w:val="24"/>
          <w:szCs w:val="24"/>
        </w:rPr>
        <w:t xml:space="preserve">la productividad aparente </w:t>
      </w:r>
      <w:r w:rsidR="00962EC8" w:rsidRPr="00ED7F30">
        <w:rPr>
          <w:b/>
          <w:color w:val="4F6228" w:themeColor="accent3" w:themeShade="80"/>
          <w:sz w:val="24"/>
          <w:szCs w:val="24"/>
        </w:rPr>
        <w:t>por trabajador</w:t>
      </w:r>
      <w:r w:rsidRPr="00ED7F30">
        <w:rPr>
          <w:b/>
          <w:color w:val="4F6228" w:themeColor="accent3" w:themeShade="80"/>
          <w:sz w:val="24"/>
          <w:szCs w:val="24"/>
        </w:rPr>
        <w:t xml:space="preserve"> crece muy poco</w:t>
      </w:r>
      <w:r w:rsidR="00B70445" w:rsidRPr="00ED7F30">
        <w:rPr>
          <w:color w:val="4F6228" w:themeColor="accent3" w:themeShade="80"/>
          <w:sz w:val="24"/>
          <w:szCs w:val="24"/>
        </w:rPr>
        <w:t>,</w:t>
      </w:r>
      <w:r w:rsidR="00B70445" w:rsidRPr="001D3810">
        <w:rPr>
          <w:sz w:val="24"/>
          <w:szCs w:val="24"/>
        </w:rPr>
        <w:t xml:space="preserve"> incluso nada, según las últimas estimaciones del Gob</w:t>
      </w:r>
      <w:r w:rsidR="00962EC8" w:rsidRPr="001D3810">
        <w:rPr>
          <w:sz w:val="24"/>
          <w:szCs w:val="24"/>
        </w:rPr>
        <w:t xml:space="preserve">ierno para 2018. </w:t>
      </w:r>
    </w:p>
    <w:p w:rsidR="00384FB6" w:rsidRPr="001D3810" w:rsidRDefault="00384FB6" w:rsidP="00384FB6">
      <w:pPr>
        <w:spacing w:after="0" w:line="240" w:lineRule="auto"/>
        <w:jc w:val="both"/>
        <w:rPr>
          <w:sz w:val="24"/>
          <w:szCs w:val="24"/>
        </w:rPr>
      </w:pPr>
    </w:p>
    <w:p w:rsidR="00384FB6" w:rsidRPr="00ED7F30" w:rsidRDefault="00384FB6" w:rsidP="00384FB6">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G1 - </w:t>
      </w:r>
      <w:r w:rsidRPr="00ED7F30">
        <w:rPr>
          <w:b/>
          <w:i/>
          <w:color w:val="4F6228" w:themeColor="accent3" w:themeShade="80"/>
          <w:sz w:val="28"/>
          <w:szCs w:val="28"/>
        </w:rPr>
        <w:t>PIB, empleo y productividad</w:t>
      </w:r>
    </w:p>
    <w:p w:rsidR="00384FB6" w:rsidRPr="00ED7F30" w:rsidRDefault="00384FB6" w:rsidP="00384FB6">
      <w:pPr>
        <w:spacing w:after="0" w:line="240" w:lineRule="auto"/>
        <w:jc w:val="center"/>
        <w:rPr>
          <w:b/>
          <w:i/>
          <w:color w:val="4F6228" w:themeColor="accent3" w:themeShade="80"/>
        </w:rPr>
      </w:pPr>
      <w:r w:rsidRPr="00ED7F30">
        <w:rPr>
          <w:b/>
          <w:i/>
          <w:color w:val="4F6228" w:themeColor="accent3" w:themeShade="80"/>
        </w:rPr>
        <w:t>Tasas de variación anual</w:t>
      </w:r>
    </w:p>
    <w:p w:rsidR="00384FB6" w:rsidRPr="001D3810" w:rsidRDefault="00384FB6" w:rsidP="00384FB6">
      <w:pPr>
        <w:spacing w:after="0" w:line="240" w:lineRule="auto"/>
        <w:jc w:val="center"/>
        <w:rPr>
          <w:sz w:val="24"/>
          <w:szCs w:val="24"/>
        </w:rPr>
      </w:pPr>
      <w:r w:rsidRPr="001D3810">
        <w:rPr>
          <w:noProof/>
          <w:lang w:eastAsia="es-ES"/>
        </w:rPr>
        <w:drawing>
          <wp:inline distT="0" distB="0" distL="0" distR="0">
            <wp:extent cx="5283200" cy="3213048"/>
            <wp:effectExtent l="0" t="0" r="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85686" cy="3214560"/>
                    </a:xfrm>
                    <a:prstGeom prst="rect">
                      <a:avLst/>
                    </a:prstGeom>
                    <a:noFill/>
                    <a:ln>
                      <a:noFill/>
                    </a:ln>
                  </pic:spPr>
                </pic:pic>
              </a:graphicData>
            </a:graphic>
          </wp:inline>
        </w:drawing>
      </w:r>
    </w:p>
    <w:p w:rsidR="00384FB6" w:rsidRPr="00ED7F30" w:rsidRDefault="00384FB6" w:rsidP="00384FB6">
      <w:pPr>
        <w:spacing w:after="0" w:line="240" w:lineRule="auto"/>
        <w:ind w:firstLine="142"/>
        <w:jc w:val="both"/>
        <w:rPr>
          <w:i/>
          <w:color w:val="4F6228" w:themeColor="accent3" w:themeShade="80"/>
          <w:sz w:val="18"/>
          <w:szCs w:val="18"/>
        </w:rPr>
      </w:pPr>
      <w:r w:rsidRPr="00ED7F30">
        <w:rPr>
          <w:i/>
          <w:color w:val="4F6228" w:themeColor="accent3" w:themeShade="80"/>
          <w:sz w:val="18"/>
          <w:szCs w:val="18"/>
        </w:rPr>
        <w:t>Fuente: CNTR y EPA (INE)</w:t>
      </w:r>
    </w:p>
    <w:p w:rsidR="00767046" w:rsidRPr="001D3810" w:rsidRDefault="00767046" w:rsidP="00D625E6">
      <w:pPr>
        <w:spacing w:after="0" w:line="240" w:lineRule="auto"/>
        <w:jc w:val="both"/>
        <w:rPr>
          <w:sz w:val="24"/>
          <w:szCs w:val="24"/>
        </w:rPr>
      </w:pPr>
    </w:p>
    <w:p w:rsidR="00767046" w:rsidRPr="001D3810" w:rsidRDefault="00767046" w:rsidP="00D625E6">
      <w:pPr>
        <w:spacing w:after="0" w:line="240" w:lineRule="auto"/>
        <w:jc w:val="both"/>
        <w:rPr>
          <w:sz w:val="24"/>
          <w:szCs w:val="24"/>
        </w:rPr>
      </w:pPr>
    </w:p>
    <w:p w:rsidR="0016019A" w:rsidRPr="001D3810" w:rsidRDefault="00962EC8" w:rsidP="00D625E6">
      <w:pPr>
        <w:spacing w:after="0" w:line="240" w:lineRule="auto"/>
        <w:jc w:val="both"/>
        <w:rPr>
          <w:sz w:val="24"/>
          <w:szCs w:val="24"/>
        </w:rPr>
      </w:pPr>
      <w:r w:rsidRPr="001D3810">
        <w:rPr>
          <w:sz w:val="24"/>
          <w:szCs w:val="24"/>
        </w:rPr>
        <w:t>Se mantiene el</w:t>
      </w:r>
      <w:r w:rsidR="006E7442" w:rsidRPr="001D3810">
        <w:rPr>
          <w:sz w:val="24"/>
          <w:szCs w:val="24"/>
        </w:rPr>
        <w:t xml:space="preserve"> patrón de creación de empleo mostrado desde el inicio de esta nueva fase expansiva, caracterizado por una</w:t>
      </w:r>
      <w:r w:rsidR="006E7442" w:rsidRPr="001D3810">
        <w:rPr>
          <w:b/>
          <w:sz w:val="24"/>
          <w:szCs w:val="24"/>
        </w:rPr>
        <w:t xml:space="preserve"> </w:t>
      </w:r>
      <w:r w:rsidR="006E7442" w:rsidRPr="00ED7F30">
        <w:rPr>
          <w:b/>
          <w:color w:val="4F6228" w:themeColor="accent3" w:themeShade="80"/>
          <w:sz w:val="24"/>
          <w:szCs w:val="24"/>
        </w:rPr>
        <w:t xml:space="preserve">muy elevada </w:t>
      </w:r>
      <w:r w:rsidR="006E7442" w:rsidRPr="00ED7F30">
        <w:rPr>
          <w:b/>
          <w:i/>
          <w:color w:val="4F6228" w:themeColor="accent3" w:themeShade="80"/>
          <w:sz w:val="24"/>
          <w:szCs w:val="24"/>
        </w:rPr>
        <w:t>elasticidad</w:t>
      </w:r>
      <w:r w:rsidR="006E7442" w:rsidRPr="00ED7F30">
        <w:rPr>
          <w:b/>
          <w:color w:val="4F6228" w:themeColor="accent3" w:themeShade="80"/>
          <w:sz w:val="24"/>
          <w:szCs w:val="24"/>
        </w:rPr>
        <w:t xml:space="preserve"> respecto del PIB</w:t>
      </w:r>
      <w:r w:rsidR="006E7442" w:rsidRPr="001D3810">
        <w:rPr>
          <w:b/>
          <w:sz w:val="24"/>
          <w:szCs w:val="24"/>
        </w:rPr>
        <w:t>.</w:t>
      </w:r>
      <w:r w:rsidR="006E7442" w:rsidRPr="001D3810">
        <w:rPr>
          <w:sz w:val="24"/>
          <w:szCs w:val="24"/>
        </w:rPr>
        <w:t xml:space="preserve"> Esto quiere decir que </w:t>
      </w:r>
      <w:r w:rsidR="0016019A" w:rsidRPr="001D3810">
        <w:rPr>
          <w:sz w:val="24"/>
          <w:szCs w:val="24"/>
        </w:rPr>
        <w:t xml:space="preserve">el empleo es muy sensible a las variaciones de la actividad, aumentando mucho en las fases de expansión, como la actual; pero como contrapartida, también se destruye de manera muy intensa cuando se entra en períodos recesivos. </w:t>
      </w:r>
    </w:p>
    <w:p w:rsidR="0016019A" w:rsidRPr="001D3810" w:rsidRDefault="0016019A" w:rsidP="00D625E6">
      <w:pPr>
        <w:spacing w:after="0" w:line="240" w:lineRule="auto"/>
        <w:jc w:val="both"/>
        <w:rPr>
          <w:sz w:val="24"/>
          <w:szCs w:val="24"/>
        </w:rPr>
      </w:pPr>
    </w:p>
    <w:p w:rsidR="00D625E6" w:rsidRPr="001D3810" w:rsidRDefault="00D625E6" w:rsidP="00D625E6">
      <w:pPr>
        <w:spacing w:after="0" w:line="240" w:lineRule="auto"/>
        <w:jc w:val="both"/>
        <w:rPr>
          <w:sz w:val="24"/>
          <w:szCs w:val="24"/>
        </w:rPr>
      </w:pPr>
      <w:r w:rsidRPr="00ED7F30">
        <w:rPr>
          <w:b/>
          <w:color w:val="4F6228" w:themeColor="accent3" w:themeShade="80"/>
          <w:sz w:val="24"/>
          <w:szCs w:val="24"/>
        </w:rPr>
        <w:t>Est</w:t>
      </w:r>
      <w:r w:rsidR="000021D6" w:rsidRPr="00ED7F30">
        <w:rPr>
          <w:b/>
          <w:color w:val="4F6228" w:themeColor="accent3" w:themeShade="80"/>
          <w:sz w:val="24"/>
          <w:szCs w:val="24"/>
        </w:rPr>
        <w:t>a</w:t>
      </w:r>
      <w:r w:rsidRPr="00ED7F30">
        <w:rPr>
          <w:b/>
          <w:color w:val="4F6228" w:themeColor="accent3" w:themeShade="80"/>
          <w:sz w:val="24"/>
          <w:szCs w:val="24"/>
        </w:rPr>
        <w:t xml:space="preserve"> es una característica tradicional de la economía </w:t>
      </w:r>
      <w:r w:rsidR="005A66E1" w:rsidRPr="00ED7F30">
        <w:rPr>
          <w:b/>
          <w:color w:val="4F6228" w:themeColor="accent3" w:themeShade="80"/>
          <w:sz w:val="24"/>
          <w:szCs w:val="24"/>
        </w:rPr>
        <w:t>andaluza</w:t>
      </w:r>
      <w:r w:rsidR="005A66E1" w:rsidRPr="001D3810">
        <w:rPr>
          <w:b/>
          <w:sz w:val="24"/>
          <w:szCs w:val="24"/>
        </w:rPr>
        <w:t xml:space="preserve"> </w:t>
      </w:r>
      <w:r w:rsidR="000021D6" w:rsidRPr="001D3810">
        <w:rPr>
          <w:sz w:val="24"/>
          <w:szCs w:val="24"/>
        </w:rPr>
        <w:t>derivada</w:t>
      </w:r>
      <w:r w:rsidR="005A66E1" w:rsidRPr="001D3810">
        <w:rPr>
          <w:sz w:val="24"/>
          <w:szCs w:val="24"/>
        </w:rPr>
        <w:t xml:space="preserve"> </w:t>
      </w:r>
      <w:r w:rsidR="000021D6" w:rsidRPr="001D3810">
        <w:rPr>
          <w:sz w:val="24"/>
          <w:szCs w:val="24"/>
        </w:rPr>
        <w:t>del fuerte peso que poseen sobre el crecimiento algunas</w:t>
      </w:r>
      <w:r w:rsidRPr="001D3810">
        <w:rPr>
          <w:sz w:val="24"/>
          <w:szCs w:val="24"/>
        </w:rPr>
        <w:t xml:space="preserve"> actividades que son muy intensivas en trabajo (como la construcción o la hostelería) y </w:t>
      </w:r>
      <w:r w:rsidR="000021D6" w:rsidRPr="001D3810">
        <w:rPr>
          <w:sz w:val="24"/>
          <w:szCs w:val="24"/>
        </w:rPr>
        <w:t>de</w:t>
      </w:r>
      <w:r w:rsidRPr="001D3810">
        <w:rPr>
          <w:sz w:val="24"/>
          <w:szCs w:val="24"/>
        </w:rPr>
        <w:t xml:space="preserve"> la </w:t>
      </w:r>
      <w:r w:rsidRPr="00ED7F30">
        <w:rPr>
          <w:b/>
          <w:color w:val="4F6228" w:themeColor="accent3" w:themeShade="80"/>
          <w:sz w:val="24"/>
          <w:szCs w:val="24"/>
        </w:rPr>
        <w:t xml:space="preserve">extrema facilidad de contratación </w:t>
      </w:r>
      <w:r w:rsidR="00BC7118" w:rsidRPr="00ED7F30">
        <w:rPr>
          <w:b/>
          <w:color w:val="4F6228" w:themeColor="accent3" w:themeShade="80"/>
          <w:sz w:val="24"/>
          <w:szCs w:val="24"/>
        </w:rPr>
        <w:t xml:space="preserve">y despido </w:t>
      </w:r>
      <w:r w:rsidR="005A66E1" w:rsidRPr="00ED7F30">
        <w:rPr>
          <w:b/>
          <w:color w:val="4F6228" w:themeColor="accent3" w:themeShade="80"/>
          <w:sz w:val="24"/>
          <w:szCs w:val="24"/>
        </w:rPr>
        <w:t>que existe en España</w:t>
      </w:r>
      <w:r w:rsidRPr="00ED7F30">
        <w:rPr>
          <w:color w:val="4F6228" w:themeColor="accent3" w:themeShade="80"/>
          <w:sz w:val="24"/>
          <w:szCs w:val="24"/>
        </w:rPr>
        <w:t>,</w:t>
      </w:r>
      <w:r w:rsidRPr="001D3810">
        <w:rPr>
          <w:sz w:val="24"/>
          <w:szCs w:val="24"/>
        </w:rPr>
        <w:t xml:space="preserve"> con contratos temporales o a tiempo parcial (o ambas cosas a la vez)</w:t>
      </w:r>
      <w:r w:rsidR="005A66E1" w:rsidRPr="001D3810">
        <w:rPr>
          <w:sz w:val="24"/>
          <w:szCs w:val="24"/>
        </w:rPr>
        <w:t xml:space="preserve"> </w:t>
      </w:r>
      <w:r w:rsidR="00FE0EA2" w:rsidRPr="001D3810">
        <w:rPr>
          <w:sz w:val="24"/>
          <w:szCs w:val="24"/>
        </w:rPr>
        <w:t xml:space="preserve">de bajos salarios y con un coste de mantenimiento y de extinción muy bajo. </w:t>
      </w:r>
      <w:r w:rsidR="00926CB4" w:rsidRPr="001D3810">
        <w:rPr>
          <w:sz w:val="24"/>
          <w:szCs w:val="24"/>
        </w:rPr>
        <w:t xml:space="preserve">Es decir, empleos poco productivos, de baja calidad, </w:t>
      </w:r>
    </w:p>
    <w:p w:rsidR="004710EE" w:rsidRPr="001D3810" w:rsidRDefault="004710EE" w:rsidP="00D625E6">
      <w:pPr>
        <w:spacing w:after="0" w:line="240" w:lineRule="auto"/>
        <w:jc w:val="both"/>
        <w:rPr>
          <w:sz w:val="24"/>
          <w:szCs w:val="24"/>
        </w:rPr>
      </w:pPr>
    </w:p>
    <w:p w:rsidR="00384FB6" w:rsidRPr="00ED7F30" w:rsidRDefault="00384FB6" w:rsidP="00384FB6">
      <w:pPr>
        <w:spacing w:after="0" w:line="240" w:lineRule="auto"/>
        <w:jc w:val="both"/>
        <w:rPr>
          <w:b/>
          <w:color w:val="4F6228" w:themeColor="accent3" w:themeShade="80"/>
          <w:sz w:val="24"/>
          <w:szCs w:val="24"/>
        </w:rPr>
      </w:pPr>
      <w:r w:rsidRPr="001D3810">
        <w:rPr>
          <w:sz w:val="24"/>
          <w:szCs w:val="24"/>
        </w:rPr>
        <w:t xml:space="preserve">Que </w:t>
      </w:r>
      <w:r w:rsidR="005A66E1" w:rsidRPr="001D3810">
        <w:rPr>
          <w:sz w:val="24"/>
          <w:szCs w:val="24"/>
        </w:rPr>
        <w:t>Andalucía</w:t>
      </w:r>
      <w:r w:rsidRPr="001D3810">
        <w:rPr>
          <w:sz w:val="24"/>
          <w:szCs w:val="24"/>
        </w:rPr>
        <w:t xml:space="preserve"> esté creando empleo ahora, por tanto, es sin duda positivo, puesto que es el desempleo es el principal problema socioeconómico </w:t>
      </w:r>
      <w:r w:rsidR="005A66E1" w:rsidRPr="001D3810">
        <w:rPr>
          <w:sz w:val="24"/>
          <w:szCs w:val="24"/>
        </w:rPr>
        <w:t>de la región</w:t>
      </w:r>
      <w:r w:rsidRPr="001D3810">
        <w:rPr>
          <w:sz w:val="24"/>
          <w:szCs w:val="24"/>
        </w:rPr>
        <w:t xml:space="preserve">. Pero </w:t>
      </w:r>
      <w:r w:rsidRPr="00ED7F30">
        <w:rPr>
          <w:b/>
          <w:color w:val="4F6228" w:themeColor="accent3" w:themeShade="80"/>
          <w:sz w:val="24"/>
          <w:szCs w:val="24"/>
        </w:rPr>
        <w:t xml:space="preserve">se necesita empleo de mayor calidad, más productivo, para que permita generar más riqueza y para que se transforme, vía mejores salarios y una mayor estabilidad laboral, en un aumento del bienestar de los hogares. </w:t>
      </w:r>
    </w:p>
    <w:p w:rsidR="00384FB6" w:rsidRPr="001D3810" w:rsidRDefault="00384FB6" w:rsidP="00D625E6">
      <w:pPr>
        <w:spacing w:after="0" w:line="240" w:lineRule="auto"/>
        <w:jc w:val="both"/>
        <w:rPr>
          <w:sz w:val="24"/>
          <w:szCs w:val="24"/>
        </w:rPr>
      </w:pPr>
    </w:p>
    <w:p w:rsidR="00C54DA9" w:rsidRPr="001D3810" w:rsidRDefault="00C54DA9" w:rsidP="00426874">
      <w:pPr>
        <w:spacing w:after="0" w:line="240" w:lineRule="auto"/>
        <w:jc w:val="both"/>
        <w:rPr>
          <w:b/>
          <w:sz w:val="24"/>
          <w:szCs w:val="24"/>
        </w:rPr>
      </w:pPr>
    </w:p>
    <w:p w:rsidR="00426874" w:rsidRPr="00ED7F30" w:rsidRDefault="00426874" w:rsidP="00AA4DF7">
      <w:pPr>
        <w:pStyle w:val="Prrafodelista"/>
        <w:numPr>
          <w:ilvl w:val="0"/>
          <w:numId w:val="13"/>
        </w:numPr>
        <w:spacing w:after="0" w:line="240" w:lineRule="auto"/>
        <w:ind w:left="426" w:hanging="426"/>
        <w:jc w:val="both"/>
        <w:rPr>
          <w:b/>
          <w:color w:val="4F6228" w:themeColor="accent3" w:themeShade="80"/>
          <w:sz w:val="28"/>
          <w:szCs w:val="28"/>
        </w:rPr>
      </w:pPr>
      <w:r w:rsidRPr="00ED7F30">
        <w:rPr>
          <w:b/>
          <w:color w:val="4F6228" w:themeColor="accent3" w:themeShade="80"/>
          <w:sz w:val="28"/>
          <w:szCs w:val="28"/>
        </w:rPr>
        <w:t>Se crea empleo, pero muy precario</w:t>
      </w:r>
    </w:p>
    <w:p w:rsidR="00DA0E82" w:rsidRPr="001D3810" w:rsidRDefault="00DA0E82" w:rsidP="00426874">
      <w:pPr>
        <w:spacing w:after="0" w:line="240" w:lineRule="auto"/>
        <w:jc w:val="both"/>
        <w:rPr>
          <w:sz w:val="24"/>
          <w:szCs w:val="24"/>
          <w:highlight w:val="yellow"/>
        </w:rPr>
      </w:pPr>
    </w:p>
    <w:p w:rsidR="00DA0E82" w:rsidRPr="001D3810" w:rsidRDefault="00DA0E82" w:rsidP="00DA0E82">
      <w:pPr>
        <w:spacing w:after="0" w:line="240" w:lineRule="auto"/>
        <w:jc w:val="both"/>
        <w:rPr>
          <w:sz w:val="24"/>
          <w:szCs w:val="24"/>
        </w:rPr>
      </w:pPr>
      <w:r w:rsidRPr="001D3810">
        <w:rPr>
          <w:sz w:val="24"/>
          <w:szCs w:val="24"/>
        </w:rPr>
        <w:t xml:space="preserve">La recuperación del crecimiento económico desde el primer trimestre de 2014 ha traído consigo la creación de </w:t>
      </w:r>
      <w:r w:rsidR="005A66E1" w:rsidRPr="001D3810">
        <w:rPr>
          <w:sz w:val="24"/>
          <w:szCs w:val="24"/>
        </w:rPr>
        <w:t>400.000</w:t>
      </w:r>
      <w:r w:rsidRPr="001D3810">
        <w:rPr>
          <w:sz w:val="24"/>
          <w:szCs w:val="24"/>
        </w:rPr>
        <w:t xml:space="preserve"> empleos. Pese a ello, en el cu</w:t>
      </w:r>
      <w:r w:rsidR="005A66E1" w:rsidRPr="001D3810">
        <w:rPr>
          <w:sz w:val="24"/>
          <w:szCs w:val="24"/>
        </w:rPr>
        <w:t>arto trimestre de 2017 aún hay 266.100</w:t>
      </w:r>
      <w:r w:rsidRPr="001D3810">
        <w:rPr>
          <w:sz w:val="24"/>
          <w:szCs w:val="24"/>
        </w:rPr>
        <w:t xml:space="preserve"> empleos menos que en el cuarto de 2007, antes de la crisis. Si se tienen en cuenta solo los ocupados asalariados, desde el primer trimestre de 2014 han aumentado en casi </w:t>
      </w:r>
      <w:r w:rsidR="005A66E1" w:rsidRPr="001D3810">
        <w:rPr>
          <w:sz w:val="24"/>
          <w:szCs w:val="24"/>
        </w:rPr>
        <w:t>364.000</w:t>
      </w:r>
      <w:r w:rsidRPr="001D3810">
        <w:rPr>
          <w:sz w:val="24"/>
          <w:szCs w:val="24"/>
        </w:rPr>
        <w:t xml:space="preserve">, de los cuales </w:t>
      </w:r>
      <w:r w:rsidR="005A66E1" w:rsidRPr="001D3810">
        <w:rPr>
          <w:sz w:val="24"/>
          <w:szCs w:val="24"/>
        </w:rPr>
        <w:t>187</w:t>
      </w:r>
      <w:r w:rsidRPr="001D3810">
        <w:rPr>
          <w:sz w:val="24"/>
          <w:szCs w:val="24"/>
        </w:rPr>
        <w:t>.</w:t>
      </w:r>
      <w:r w:rsidR="005A66E1" w:rsidRPr="001D3810">
        <w:rPr>
          <w:sz w:val="24"/>
          <w:szCs w:val="24"/>
        </w:rPr>
        <w:t>6</w:t>
      </w:r>
      <w:r w:rsidRPr="001D3810">
        <w:rPr>
          <w:sz w:val="24"/>
          <w:szCs w:val="24"/>
        </w:rPr>
        <w:t xml:space="preserve">00 han sido indefinidos y algo más de </w:t>
      </w:r>
      <w:r w:rsidR="005A66E1" w:rsidRPr="001D3810">
        <w:rPr>
          <w:sz w:val="24"/>
          <w:szCs w:val="24"/>
        </w:rPr>
        <w:t>176.300</w:t>
      </w:r>
      <w:r w:rsidRPr="001D3810">
        <w:rPr>
          <w:sz w:val="24"/>
          <w:szCs w:val="24"/>
        </w:rPr>
        <w:t xml:space="preserve"> temporales. Eso supone aún un déficit respecto del último trimestre precrisis de prácticamente </w:t>
      </w:r>
      <w:r w:rsidR="005A66E1" w:rsidRPr="001D3810">
        <w:rPr>
          <w:sz w:val="24"/>
          <w:szCs w:val="24"/>
        </w:rPr>
        <w:t>219.100</w:t>
      </w:r>
      <w:r w:rsidRPr="001D3810">
        <w:rPr>
          <w:sz w:val="24"/>
          <w:szCs w:val="24"/>
        </w:rPr>
        <w:t xml:space="preserve"> puestos de trabajo, </w:t>
      </w:r>
      <w:r w:rsidR="008836DC" w:rsidRPr="001D3810">
        <w:rPr>
          <w:sz w:val="24"/>
          <w:szCs w:val="24"/>
        </w:rPr>
        <w:t>31.400</w:t>
      </w:r>
      <w:r w:rsidRPr="001D3810">
        <w:rPr>
          <w:sz w:val="24"/>
          <w:szCs w:val="24"/>
        </w:rPr>
        <w:t xml:space="preserve"> </w:t>
      </w:r>
      <w:r w:rsidR="008836DC" w:rsidRPr="001D3810">
        <w:rPr>
          <w:sz w:val="24"/>
          <w:szCs w:val="24"/>
        </w:rPr>
        <w:t xml:space="preserve">más </w:t>
      </w:r>
      <w:r w:rsidRPr="001D3810">
        <w:rPr>
          <w:sz w:val="24"/>
          <w:szCs w:val="24"/>
        </w:rPr>
        <w:t xml:space="preserve">de carácter indefinido y </w:t>
      </w:r>
      <w:r w:rsidR="008836DC" w:rsidRPr="001D3810">
        <w:rPr>
          <w:sz w:val="24"/>
          <w:szCs w:val="24"/>
        </w:rPr>
        <w:t xml:space="preserve">250.400 menos de </w:t>
      </w:r>
      <w:r w:rsidRPr="001D3810">
        <w:rPr>
          <w:sz w:val="24"/>
          <w:szCs w:val="24"/>
        </w:rPr>
        <w:t>temporal</w:t>
      </w:r>
      <w:r w:rsidR="005A66E1" w:rsidRPr="001D3810">
        <w:rPr>
          <w:sz w:val="24"/>
          <w:szCs w:val="24"/>
        </w:rPr>
        <w:t xml:space="preserve"> </w:t>
      </w:r>
      <w:r w:rsidR="00384FB6" w:rsidRPr="001D3810">
        <w:rPr>
          <w:i/>
          <w:sz w:val="24"/>
          <w:szCs w:val="24"/>
        </w:rPr>
        <w:t>(Gráfico 2)</w:t>
      </w:r>
      <w:r w:rsidRPr="001D3810">
        <w:rPr>
          <w:sz w:val="24"/>
          <w:szCs w:val="24"/>
        </w:rPr>
        <w:t xml:space="preserve">. </w:t>
      </w:r>
    </w:p>
    <w:p w:rsidR="00DA0E82" w:rsidRPr="001D3810" w:rsidRDefault="00DA0E82" w:rsidP="00DA0E82">
      <w:pPr>
        <w:spacing w:after="0" w:line="240" w:lineRule="auto"/>
        <w:jc w:val="both"/>
        <w:rPr>
          <w:sz w:val="24"/>
          <w:szCs w:val="24"/>
        </w:rPr>
      </w:pPr>
    </w:p>
    <w:p w:rsidR="00384FB6" w:rsidRPr="001D3810" w:rsidRDefault="00384FB6" w:rsidP="00384FB6">
      <w:pPr>
        <w:spacing w:after="0" w:line="240" w:lineRule="auto"/>
        <w:jc w:val="both"/>
        <w:rPr>
          <w:sz w:val="24"/>
          <w:szCs w:val="24"/>
        </w:rPr>
      </w:pPr>
      <w:r w:rsidRPr="001D3810">
        <w:rPr>
          <w:sz w:val="24"/>
          <w:szCs w:val="24"/>
        </w:rPr>
        <w:t xml:space="preserve">En definitiva, se está creando empleo, pero aún necesitamos más. El objetivo de aumentar el número de ocupados sigue siendo una prioridad económica y social. Pero igualmente </w:t>
      </w:r>
      <w:r w:rsidRPr="00ED7F30">
        <w:rPr>
          <w:b/>
          <w:color w:val="4F6228" w:themeColor="accent3" w:themeShade="80"/>
          <w:sz w:val="24"/>
          <w:szCs w:val="24"/>
        </w:rPr>
        <w:t>necesitamos que ese empleo sea de calidad, estable y productivo</w:t>
      </w:r>
      <w:r w:rsidRPr="001D3810">
        <w:rPr>
          <w:sz w:val="24"/>
          <w:szCs w:val="24"/>
        </w:rPr>
        <w:t xml:space="preserve">, como mejor garantía para que aumente la riqueza nacional, se pueda distribuir de manera más justa y mejore la calidad de vida de toda la ciudadanía. </w:t>
      </w:r>
    </w:p>
    <w:p w:rsidR="00384FB6" w:rsidRPr="001D3810" w:rsidRDefault="00384FB6" w:rsidP="00DA0E82">
      <w:pPr>
        <w:spacing w:after="0" w:line="240" w:lineRule="auto"/>
        <w:jc w:val="both"/>
        <w:rPr>
          <w:sz w:val="24"/>
          <w:szCs w:val="24"/>
        </w:rPr>
      </w:pPr>
    </w:p>
    <w:p w:rsidR="00384FB6" w:rsidRPr="001D3810" w:rsidRDefault="00384FB6" w:rsidP="00384FB6">
      <w:pPr>
        <w:spacing w:after="0" w:line="240" w:lineRule="auto"/>
        <w:jc w:val="both"/>
        <w:rPr>
          <w:b/>
          <w:sz w:val="24"/>
          <w:szCs w:val="24"/>
        </w:rPr>
      </w:pPr>
      <w:r w:rsidRPr="001D3810">
        <w:rPr>
          <w:sz w:val="24"/>
          <w:szCs w:val="24"/>
        </w:rPr>
        <w:t xml:space="preserve">Lamentablemente, </w:t>
      </w:r>
      <w:r w:rsidRPr="00ED7F30">
        <w:rPr>
          <w:b/>
          <w:color w:val="4F6228" w:themeColor="accent3" w:themeShade="80"/>
          <w:sz w:val="24"/>
          <w:szCs w:val="24"/>
        </w:rPr>
        <w:t>el empleo creado en esta fase de crecimiento económico que se ha iniciado en 2014 es esencialmente precario</w:t>
      </w:r>
      <w:r w:rsidRPr="00ED7F30">
        <w:rPr>
          <w:color w:val="4F6228" w:themeColor="accent3" w:themeShade="80"/>
          <w:sz w:val="24"/>
          <w:szCs w:val="24"/>
        </w:rPr>
        <w:t>.</w:t>
      </w:r>
      <w:r w:rsidRPr="001D3810">
        <w:rPr>
          <w:sz w:val="24"/>
          <w:szCs w:val="24"/>
        </w:rPr>
        <w:t xml:space="preserve"> De hecho, se crea tanto empleo porque es precario y de baja productividad</w:t>
      </w:r>
      <w:r w:rsidRPr="001D3810">
        <w:rPr>
          <w:b/>
          <w:sz w:val="24"/>
          <w:szCs w:val="24"/>
        </w:rPr>
        <w:t xml:space="preserve">. </w:t>
      </w:r>
      <w:r w:rsidRPr="001D3810">
        <w:rPr>
          <w:sz w:val="24"/>
          <w:szCs w:val="24"/>
        </w:rPr>
        <w:t xml:space="preserve">Además de los problemas tradicionales que ya arrastraba la economía </w:t>
      </w:r>
      <w:r w:rsidR="00767046" w:rsidRPr="001D3810">
        <w:rPr>
          <w:sz w:val="24"/>
          <w:szCs w:val="24"/>
        </w:rPr>
        <w:t>andaluza</w:t>
      </w:r>
      <w:r w:rsidRPr="001D3810">
        <w:rPr>
          <w:sz w:val="24"/>
          <w:szCs w:val="24"/>
        </w:rPr>
        <w:t xml:space="preserve"> –y que nunca se solucionaron-, </w:t>
      </w:r>
      <w:r w:rsidRPr="00ED7F30">
        <w:rPr>
          <w:b/>
          <w:color w:val="4F6228" w:themeColor="accent3" w:themeShade="80"/>
          <w:sz w:val="24"/>
          <w:szCs w:val="24"/>
        </w:rPr>
        <w:t>la reforma laboral de 2012 creó las condiciones perfectas para que la precariedad laboral se extendiera y fuera la base de la expansión del empleo. Y es lo que está sucediendo.</w:t>
      </w:r>
    </w:p>
    <w:p w:rsidR="00384FB6" w:rsidRPr="001D3810" w:rsidRDefault="00384FB6" w:rsidP="00DA0E82">
      <w:pPr>
        <w:spacing w:after="0" w:line="240" w:lineRule="auto"/>
        <w:jc w:val="both"/>
        <w:rPr>
          <w:sz w:val="24"/>
          <w:szCs w:val="24"/>
        </w:rPr>
      </w:pPr>
    </w:p>
    <w:p w:rsidR="00767046" w:rsidRPr="001D3810" w:rsidRDefault="00767046"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G2 - </w:t>
      </w:r>
      <w:r w:rsidRPr="00ED7F30">
        <w:rPr>
          <w:b/>
          <w:i/>
          <w:color w:val="4F6228" w:themeColor="accent3" w:themeShade="80"/>
          <w:sz w:val="28"/>
          <w:szCs w:val="28"/>
        </w:rPr>
        <w:t>Evolución del empleo por tipo de contrato</w:t>
      </w:r>
    </w:p>
    <w:p w:rsidR="00DA0E82" w:rsidRPr="001D3810" w:rsidRDefault="00767046" w:rsidP="00DA0E82">
      <w:pPr>
        <w:spacing w:after="0" w:line="240" w:lineRule="auto"/>
        <w:jc w:val="center"/>
        <w:rPr>
          <w:sz w:val="24"/>
          <w:szCs w:val="24"/>
        </w:rPr>
      </w:pPr>
      <w:r w:rsidRPr="001D3810">
        <w:rPr>
          <w:noProof/>
          <w:sz w:val="24"/>
          <w:szCs w:val="24"/>
          <w:lang w:eastAsia="es-ES"/>
        </w:rPr>
        <w:drawing>
          <wp:inline distT="0" distB="0" distL="0" distR="0">
            <wp:extent cx="5391150" cy="3305175"/>
            <wp:effectExtent l="19050" t="0" r="1905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05B94" w:rsidRPr="00ED7F30" w:rsidRDefault="00DA0E82" w:rsidP="00E05B94">
      <w:pPr>
        <w:spacing w:after="0" w:line="240" w:lineRule="auto"/>
        <w:jc w:val="center"/>
        <w:rPr>
          <w:b/>
          <w:i/>
          <w:color w:val="4F6228" w:themeColor="accent3" w:themeShade="80"/>
        </w:rPr>
      </w:pPr>
      <w:r w:rsidRPr="00ED7F30">
        <w:rPr>
          <w:i/>
          <w:color w:val="4F6228" w:themeColor="accent3" w:themeShade="80"/>
          <w:sz w:val="18"/>
          <w:szCs w:val="18"/>
        </w:rPr>
        <w:t>Fuente: EPA. INE</w:t>
      </w:r>
      <w:r w:rsidR="00E05B94" w:rsidRPr="00ED7F30">
        <w:rPr>
          <w:b/>
          <w:i/>
          <w:color w:val="4F6228" w:themeColor="accent3" w:themeShade="80"/>
        </w:rPr>
        <w:t xml:space="preserve">  Medias anuales, miles de personas</w:t>
      </w:r>
    </w:p>
    <w:p w:rsidR="00DA0E82" w:rsidRPr="001D3810" w:rsidRDefault="00DA0E82" w:rsidP="00DA0E82">
      <w:pPr>
        <w:spacing w:after="0" w:line="240" w:lineRule="auto"/>
        <w:jc w:val="both"/>
        <w:rPr>
          <w:sz w:val="24"/>
          <w:szCs w:val="24"/>
        </w:rPr>
      </w:pPr>
    </w:p>
    <w:p w:rsidR="00DA0E82" w:rsidRPr="001D3810" w:rsidRDefault="00E05B94" w:rsidP="00DA0E82">
      <w:pPr>
        <w:spacing w:after="0" w:line="240" w:lineRule="auto"/>
        <w:jc w:val="both"/>
        <w:rPr>
          <w:sz w:val="24"/>
          <w:szCs w:val="24"/>
        </w:rPr>
      </w:pPr>
      <w:r w:rsidRPr="00ED7F30">
        <w:rPr>
          <w:b/>
          <w:color w:val="4F6228" w:themeColor="accent3" w:themeShade="80"/>
          <w:sz w:val="24"/>
          <w:szCs w:val="24"/>
        </w:rPr>
        <w:t>C</w:t>
      </w:r>
      <w:r w:rsidR="00DA0E82" w:rsidRPr="00ED7F30">
        <w:rPr>
          <w:b/>
          <w:color w:val="4F6228" w:themeColor="accent3" w:themeShade="80"/>
          <w:sz w:val="24"/>
          <w:szCs w:val="24"/>
        </w:rPr>
        <w:t xml:space="preserve">omo en otras salidas de crisis en </w:t>
      </w:r>
      <w:r w:rsidR="00767046" w:rsidRPr="00ED7F30">
        <w:rPr>
          <w:b/>
          <w:color w:val="4F6228" w:themeColor="accent3" w:themeShade="80"/>
          <w:sz w:val="24"/>
          <w:szCs w:val="24"/>
        </w:rPr>
        <w:t>Andalucía</w:t>
      </w:r>
      <w:r w:rsidR="00DA0E82" w:rsidRPr="00ED7F30">
        <w:rPr>
          <w:b/>
          <w:color w:val="4F6228" w:themeColor="accent3" w:themeShade="80"/>
          <w:sz w:val="24"/>
          <w:szCs w:val="24"/>
        </w:rPr>
        <w:t>, los empleos temporales son los que crecen más.</w:t>
      </w:r>
      <w:r w:rsidR="00DA0E82" w:rsidRPr="001D3810">
        <w:rPr>
          <w:b/>
          <w:sz w:val="24"/>
          <w:szCs w:val="24"/>
        </w:rPr>
        <w:t xml:space="preserve"> </w:t>
      </w:r>
      <w:r w:rsidR="00DA0E82" w:rsidRPr="001D3810">
        <w:rPr>
          <w:sz w:val="24"/>
          <w:szCs w:val="24"/>
        </w:rPr>
        <w:t>En esta ocasión, el empleo temporal lleva desde el tercer trimestre de 201</w:t>
      </w:r>
      <w:r w:rsidR="00767046" w:rsidRPr="001D3810">
        <w:rPr>
          <w:sz w:val="24"/>
          <w:szCs w:val="24"/>
        </w:rPr>
        <w:t>4</w:t>
      </w:r>
      <w:r w:rsidR="00DA0E82" w:rsidRPr="001D3810">
        <w:rPr>
          <w:sz w:val="24"/>
          <w:szCs w:val="24"/>
        </w:rPr>
        <w:t xml:space="preserve"> registrando tasas anuales de variación comparativamente mejores que el empleo indefinido, si bien la diferencia se ha ido atenuando en los últimos tiempos. Los últimos datos (del cuarto trimestre del año) muestran que los indefinidos crecen a un ritmo del </w:t>
      </w:r>
      <w:r w:rsidR="00767046" w:rsidRPr="001D3810">
        <w:rPr>
          <w:sz w:val="24"/>
          <w:szCs w:val="24"/>
        </w:rPr>
        <w:t>0</w:t>
      </w:r>
      <w:r w:rsidR="00DA0E82" w:rsidRPr="001D3810">
        <w:rPr>
          <w:sz w:val="24"/>
          <w:szCs w:val="24"/>
        </w:rPr>
        <w:t>,</w:t>
      </w:r>
      <w:r w:rsidR="00767046" w:rsidRPr="001D3810">
        <w:rPr>
          <w:sz w:val="24"/>
          <w:szCs w:val="24"/>
        </w:rPr>
        <w:t>8</w:t>
      </w:r>
      <w:r w:rsidR="00DA0E82" w:rsidRPr="001D3810">
        <w:rPr>
          <w:sz w:val="24"/>
          <w:szCs w:val="24"/>
        </w:rPr>
        <w:t xml:space="preserve">%, mientras los temporales aumentan a una tasa del </w:t>
      </w:r>
      <w:r w:rsidR="00767046" w:rsidRPr="001D3810">
        <w:rPr>
          <w:sz w:val="24"/>
          <w:szCs w:val="24"/>
        </w:rPr>
        <w:t>2</w:t>
      </w:r>
      <w:r w:rsidR="00DA0E82" w:rsidRPr="001D3810">
        <w:rPr>
          <w:sz w:val="24"/>
          <w:szCs w:val="24"/>
        </w:rPr>
        <w:t>,</w:t>
      </w:r>
      <w:r w:rsidR="00767046" w:rsidRPr="001D3810">
        <w:rPr>
          <w:sz w:val="24"/>
          <w:szCs w:val="24"/>
        </w:rPr>
        <w:t>6</w:t>
      </w:r>
      <w:r w:rsidR="00DA0E82" w:rsidRPr="001D3810">
        <w:rPr>
          <w:sz w:val="24"/>
          <w:szCs w:val="24"/>
        </w:rPr>
        <w:t xml:space="preserve">% </w:t>
      </w:r>
      <w:r w:rsidR="00DA0E82" w:rsidRPr="001D3810">
        <w:rPr>
          <w:i/>
          <w:sz w:val="24"/>
          <w:szCs w:val="24"/>
        </w:rPr>
        <w:t>(Gráfico 3).</w:t>
      </w: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G3 - </w:t>
      </w:r>
      <w:r w:rsidRPr="00ED7F30">
        <w:rPr>
          <w:b/>
          <w:i/>
          <w:color w:val="4F6228" w:themeColor="accent3" w:themeShade="80"/>
          <w:sz w:val="28"/>
          <w:szCs w:val="28"/>
        </w:rPr>
        <w:t xml:space="preserve">Crecimiento del empleo por tipo de contrato </w:t>
      </w:r>
    </w:p>
    <w:p w:rsidR="00DA0E82" w:rsidRPr="001D3810" w:rsidRDefault="00B51278" w:rsidP="00DA0E82">
      <w:pPr>
        <w:spacing w:after="0" w:line="240" w:lineRule="auto"/>
        <w:jc w:val="center"/>
        <w:rPr>
          <w:sz w:val="24"/>
          <w:szCs w:val="24"/>
        </w:rPr>
      </w:pPr>
      <w:r w:rsidRPr="001D3810">
        <w:rPr>
          <w:noProof/>
          <w:sz w:val="24"/>
          <w:szCs w:val="24"/>
          <w:lang w:eastAsia="es-ES"/>
        </w:rPr>
        <w:drawing>
          <wp:inline distT="0" distB="0" distL="0" distR="0">
            <wp:extent cx="5285740" cy="3133725"/>
            <wp:effectExtent l="19050" t="0" r="10160" b="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05B94" w:rsidRPr="00ED7F30" w:rsidRDefault="00DA0E82" w:rsidP="00E05B94">
      <w:pPr>
        <w:spacing w:after="0" w:line="240" w:lineRule="auto"/>
        <w:jc w:val="center"/>
        <w:rPr>
          <w:b/>
          <w:i/>
          <w:color w:val="4F6228" w:themeColor="accent3" w:themeShade="80"/>
        </w:rPr>
      </w:pPr>
      <w:r w:rsidRPr="00ED7F30">
        <w:rPr>
          <w:i/>
          <w:color w:val="4F6228" w:themeColor="accent3" w:themeShade="80"/>
          <w:sz w:val="18"/>
          <w:szCs w:val="18"/>
        </w:rPr>
        <w:t>Fuente: EPA. INE</w:t>
      </w:r>
      <w:r w:rsidR="00E05B94" w:rsidRPr="00ED7F30">
        <w:rPr>
          <w:i/>
          <w:color w:val="4F6228" w:themeColor="accent3" w:themeShade="80"/>
          <w:sz w:val="18"/>
          <w:szCs w:val="18"/>
        </w:rPr>
        <w:t xml:space="preserve"> </w:t>
      </w:r>
      <w:r w:rsidR="00E05B94" w:rsidRPr="00ED7F30">
        <w:rPr>
          <w:b/>
          <w:i/>
          <w:color w:val="4F6228" w:themeColor="accent3" w:themeShade="80"/>
        </w:rPr>
        <w:t>Tasas de variación anual</w:t>
      </w:r>
    </w:p>
    <w:p w:rsidR="00DA0E82" w:rsidRPr="001D3810" w:rsidRDefault="00DA0E82" w:rsidP="00DA0E82">
      <w:pPr>
        <w:spacing w:after="0" w:line="240" w:lineRule="auto"/>
        <w:jc w:val="both"/>
        <w:rPr>
          <w:sz w:val="24"/>
          <w:szCs w:val="24"/>
        </w:rPr>
      </w:pPr>
      <w:r w:rsidRPr="001D3810">
        <w:rPr>
          <w:sz w:val="24"/>
          <w:szCs w:val="24"/>
        </w:rPr>
        <w:lastRenderedPageBreak/>
        <w:t xml:space="preserve">Por eso </w:t>
      </w:r>
      <w:r w:rsidRPr="00ED7F30">
        <w:rPr>
          <w:b/>
          <w:color w:val="4F6228" w:themeColor="accent3" w:themeShade="80"/>
          <w:sz w:val="24"/>
          <w:szCs w:val="24"/>
        </w:rPr>
        <w:t>ha vuelto a aumentar la tasa de temporalidad</w:t>
      </w:r>
      <w:r w:rsidRPr="001D3810">
        <w:rPr>
          <w:sz w:val="24"/>
          <w:szCs w:val="24"/>
        </w:rPr>
        <w:t xml:space="preserve">. En el primer trimestre de 2013 había caído hasta el </w:t>
      </w:r>
      <w:r w:rsidR="00E05B94" w:rsidRPr="001D3810">
        <w:rPr>
          <w:sz w:val="24"/>
          <w:szCs w:val="24"/>
        </w:rPr>
        <w:t>30</w:t>
      </w:r>
      <w:r w:rsidRPr="001D3810">
        <w:rPr>
          <w:sz w:val="24"/>
          <w:szCs w:val="24"/>
        </w:rPr>
        <w:t>,</w:t>
      </w:r>
      <w:r w:rsidR="00E05B94" w:rsidRPr="001D3810">
        <w:rPr>
          <w:sz w:val="24"/>
          <w:szCs w:val="24"/>
        </w:rPr>
        <w:t>3</w:t>
      </w:r>
      <w:r w:rsidRPr="001D3810">
        <w:rPr>
          <w:sz w:val="24"/>
          <w:szCs w:val="24"/>
        </w:rPr>
        <w:t xml:space="preserve">%, su nivel más bajo </w:t>
      </w:r>
      <w:r w:rsidR="00E05B94" w:rsidRPr="001D3810">
        <w:rPr>
          <w:sz w:val="24"/>
          <w:szCs w:val="24"/>
        </w:rPr>
        <w:t>en toda la serie histórica del indicador</w:t>
      </w:r>
      <w:r w:rsidRPr="001D3810">
        <w:rPr>
          <w:sz w:val="24"/>
          <w:szCs w:val="24"/>
        </w:rPr>
        <w:t>. El año 20</w:t>
      </w:r>
      <w:r w:rsidR="00350DF0" w:rsidRPr="001D3810">
        <w:rPr>
          <w:sz w:val="24"/>
          <w:szCs w:val="24"/>
        </w:rPr>
        <w:t>1</w:t>
      </w:r>
      <w:r w:rsidR="00E05B94" w:rsidRPr="001D3810">
        <w:rPr>
          <w:sz w:val="24"/>
          <w:szCs w:val="24"/>
        </w:rPr>
        <w:t>5</w:t>
      </w:r>
      <w:r w:rsidRPr="001D3810">
        <w:rPr>
          <w:sz w:val="24"/>
          <w:szCs w:val="24"/>
        </w:rPr>
        <w:t xml:space="preserve"> ha sido el que ha registrado la mayor tasa de temporalidad desde 2008. Tomando las tasas de temporalidad medias de los últimos cuatro trimestres (para eliminar los vaivenes estacionales) se observa cómo el aumento tendencial de la misma es continuo desde el segundo trimestre de 2013 </w:t>
      </w:r>
      <w:r w:rsidRPr="001D3810">
        <w:rPr>
          <w:i/>
          <w:sz w:val="24"/>
          <w:szCs w:val="24"/>
        </w:rPr>
        <w:t>(Gráfico 4)</w:t>
      </w:r>
      <w:r w:rsidRPr="001D3810">
        <w:rPr>
          <w:sz w:val="24"/>
          <w:szCs w:val="24"/>
        </w:rPr>
        <w:t>.</w:t>
      </w: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G4 - </w:t>
      </w:r>
      <w:r w:rsidRPr="00ED7F30">
        <w:rPr>
          <w:b/>
          <w:i/>
          <w:color w:val="4F6228" w:themeColor="accent3" w:themeShade="80"/>
          <w:sz w:val="28"/>
          <w:szCs w:val="28"/>
        </w:rPr>
        <w:t xml:space="preserve">Tasa de temporalidad </w:t>
      </w:r>
    </w:p>
    <w:p w:rsidR="00DA0E82" w:rsidRPr="001D3810" w:rsidRDefault="00E05B94" w:rsidP="00DA0E82">
      <w:pPr>
        <w:spacing w:after="0" w:line="240" w:lineRule="auto"/>
        <w:jc w:val="center"/>
        <w:rPr>
          <w:sz w:val="24"/>
          <w:szCs w:val="24"/>
        </w:rPr>
      </w:pPr>
      <w:r w:rsidRPr="001D3810">
        <w:rPr>
          <w:noProof/>
          <w:sz w:val="24"/>
          <w:szCs w:val="24"/>
          <w:lang w:eastAsia="es-ES"/>
        </w:rPr>
        <w:drawing>
          <wp:inline distT="0" distB="0" distL="0" distR="0">
            <wp:extent cx="5400040" cy="2562225"/>
            <wp:effectExtent l="19050" t="0" r="10160" b="0"/>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A0E82" w:rsidRPr="00ED7F30" w:rsidRDefault="00DA0E82" w:rsidP="00DA0E82">
      <w:pPr>
        <w:spacing w:after="0" w:line="240" w:lineRule="auto"/>
        <w:ind w:left="709" w:right="707" w:firstLine="142"/>
        <w:jc w:val="both"/>
        <w:rPr>
          <w:i/>
          <w:color w:val="4F6228" w:themeColor="accent3" w:themeShade="80"/>
          <w:sz w:val="18"/>
          <w:szCs w:val="18"/>
        </w:rPr>
      </w:pPr>
      <w:r w:rsidRPr="00ED7F30">
        <w:rPr>
          <w:i/>
          <w:color w:val="4F6228" w:themeColor="accent3" w:themeShade="80"/>
          <w:sz w:val="18"/>
          <w:szCs w:val="18"/>
        </w:rPr>
        <w:t>Fuente: EPA (INE).</w:t>
      </w:r>
    </w:p>
    <w:p w:rsidR="00DA0E82" w:rsidRPr="001D3810" w:rsidRDefault="00DA0E82" w:rsidP="00DA0E82">
      <w:pPr>
        <w:spacing w:after="0" w:line="240" w:lineRule="auto"/>
        <w:jc w:val="both"/>
        <w:rPr>
          <w:b/>
          <w:sz w:val="24"/>
          <w:szCs w:val="24"/>
        </w:rPr>
      </w:pPr>
    </w:p>
    <w:p w:rsidR="00DA0E82" w:rsidRPr="001D3810" w:rsidRDefault="00DA0E82" w:rsidP="00DA0E82">
      <w:pPr>
        <w:spacing w:after="0" w:line="240" w:lineRule="auto"/>
        <w:jc w:val="both"/>
        <w:rPr>
          <w:sz w:val="24"/>
          <w:szCs w:val="24"/>
        </w:rPr>
      </w:pPr>
      <w:r w:rsidRPr="00ED7F30">
        <w:rPr>
          <w:b/>
          <w:color w:val="4F6228" w:themeColor="accent3" w:themeShade="80"/>
          <w:sz w:val="24"/>
          <w:szCs w:val="24"/>
        </w:rPr>
        <w:t xml:space="preserve">Seguimos inmersos en una </w:t>
      </w:r>
      <w:r w:rsidR="00384FB6" w:rsidRPr="00ED7F30">
        <w:rPr>
          <w:b/>
          <w:color w:val="4F6228" w:themeColor="accent3" w:themeShade="80"/>
          <w:sz w:val="24"/>
          <w:szCs w:val="24"/>
        </w:rPr>
        <w:t>situación de manifiesto abuso de la contratación temporal</w:t>
      </w:r>
      <w:r w:rsidRPr="00ED7F30">
        <w:rPr>
          <w:b/>
          <w:color w:val="4F6228" w:themeColor="accent3" w:themeShade="80"/>
          <w:sz w:val="24"/>
          <w:szCs w:val="24"/>
        </w:rPr>
        <w:t xml:space="preserve">, </w:t>
      </w:r>
      <w:r w:rsidRPr="001D3810">
        <w:rPr>
          <w:sz w:val="24"/>
          <w:szCs w:val="24"/>
        </w:rPr>
        <w:t xml:space="preserve">que no ha sido capaz de romper ninguna reforma laboral hasta ahora, y que la realizada por el Gobierno del PP en 2012 parece haber alentado. </w:t>
      </w:r>
      <w:r w:rsidRPr="00ED7F30">
        <w:rPr>
          <w:b/>
          <w:color w:val="4F6228" w:themeColor="accent3" w:themeShade="80"/>
          <w:sz w:val="24"/>
          <w:szCs w:val="24"/>
        </w:rPr>
        <w:t xml:space="preserve">Desde la entrada en vigor de esa reforma laboral de 2012, prácticamente </w:t>
      </w:r>
      <w:r w:rsidR="00E05B94" w:rsidRPr="00ED7F30">
        <w:rPr>
          <w:b/>
          <w:color w:val="4F6228" w:themeColor="accent3" w:themeShade="80"/>
          <w:sz w:val="24"/>
          <w:szCs w:val="24"/>
        </w:rPr>
        <w:t>el 60% de los</w:t>
      </w:r>
      <w:r w:rsidRPr="00ED7F30">
        <w:rPr>
          <w:b/>
          <w:color w:val="4F6228" w:themeColor="accent3" w:themeShade="80"/>
          <w:sz w:val="24"/>
          <w:szCs w:val="24"/>
        </w:rPr>
        <w:t xml:space="preserve"> empleos creados han sido de carácter temporal</w:t>
      </w:r>
      <w:r w:rsidR="00E05B94" w:rsidRPr="00ED7F30">
        <w:rPr>
          <w:b/>
          <w:color w:val="4F6228" w:themeColor="accent3" w:themeShade="80"/>
          <w:sz w:val="24"/>
          <w:szCs w:val="24"/>
        </w:rPr>
        <w:t xml:space="preserve"> (58,45%)</w:t>
      </w:r>
      <w:r w:rsidRPr="00ED7F30">
        <w:rPr>
          <w:color w:val="4F6228" w:themeColor="accent3" w:themeShade="80"/>
          <w:sz w:val="24"/>
          <w:szCs w:val="24"/>
        </w:rPr>
        <w:t>.</w:t>
      </w:r>
      <w:r w:rsidRPr="001D3810">
        <w:rPr>
          <w:sz w:val="24"/>
          <w:szCs w:val="24"/>
        </w:rPr>
        <w:t xml:space="preserve"> La dinámica es conocida: las empresas aprovechan el escaso control de la legislación vigente para realizar contratos temporales para puestos de trabajo con vocación de permanencia en la empresa, y que por tanto debieran ser cubiertos con contratos indefinidos. </w:t>
      </w:r>
    </w:p>
    <w:p w:rsidR="00DA0E82" w:rsidRPr="001D3810" w:rsidRDefault="00DA0E82" w:rsidP="00DA0E82">
      <w:pPr>
        <w:spacing w:after="0" w:line="240" w:lineRule="auto"/>
        <w:jc w:val="both"/>
        <w:rPr>
          <w:sz w:val="24"/>
          <w:szCs w:val="24"/>
        </w:rPr>
      </w:pPr>
    </w:p>
    <w:p w:rsidR="00DA0E82" w:rsidRPr="001D3810" w:rsidRDefault="00DA0E82" w:rsidP="00DA0E82">
      <w:pPr>
        <w:tabs>
          <w:tab w:val="left" w:pos="-142"/>
          <w:tab w:val="left" w:pos="0"/>
          <w:tab w:val="left" w:pos="709"/>
        </w:tabs>
        <w:spacing w:after="0" w:line="240" w:lineRule="auto"/>
        <w:jc w:val="both"/>
        <w:rPr>
          <w:rFonts w:eastAsia="Times New Roman" w:cs="Times New Roman"/>
          <w:sz w:val="24"/>
          <w:szCs w:val="24"/>
          <w:lang w:eastAsia="es-ES"/>
        </w:rPr>
      </w:pPr>
      <w:r w:rsidRPr="001D3810">
        <w:rPr>
          <w:rFonts w:eastAsia="Times New Roman" w:cs="Times New Roman"/>
          <w:sz w:val="24"/>
          <w:szCs w:val="24"/>
          <w:lang w:eastAsia="es-ES"/>
        </w:rPr>
        <w:t xml:space="preserve">Se trata de </w:t>
      </w:r>
      <w:r w:rsidRPr="00ED7F30">
        <w:rPr>
          <w:rFonts w:eastAsia="Times New Roman" w:cs="Times New Roman"/>
          <w:b/>
          <w:color w:val="4F6228" w:themeColor="accent3" w:themeShade="80"/>
          <w:sz w:val="24"/>
          <w:szCs w:val="24"/>
          <w:lang w:eastAsia="es-ES"/>
        </w:rPr>
        <w:t>un comportamiento anómalo en el contexto europeo</w:t>
      </w:r>
      <w:r w:rsidRPr="001D3810">
        <w:rPr>
          <w:rFonts w:eastAsia="Times New Roman" w:cs="Times New Roman"/>
          <w:sz w:val="24"/>
          <w:szCs w:val="24"/>
          <w:lang w:eastAsia="es-ES"/>
        </w:rPr>
        <w:t xml:space="preserve">, que no se justifica ni por la estructura productiva (o, al menos, no esencialmente), ni por la estacionalidad de algunas actividades, ni por la estructura o tamaño empresarial, ni por la regulación específica de los contratos. </w:t>
      </w:r>
      <w:r w:rsidRPr="00ED7F30">
        <w:rPr>
          <w:rFonts w:eastAsia="Times New Roman" w:cs="Times New Roman"/>
          <w:b/>
          <w:color w:val="4F6228" w:themeColor="accent3" w:themeShade="80"/>
          <w:sz w:val="24"/>
          <w:szCs w:val="24"/>
          <w:lang w:eastAsia="es-ES"/>
        </w:rPr>
        <w:t>Es, sencillamente, un problema de fraude extendido y consentido en la utilización de los contratos de duración determinada</w:t>
      </w:r>
      <w:r w:rsidRPr="001D3810">
        <w:rPr>
          <w:rFonts w:eastAsia="Times New Roman" w:cs="Times New Roman"/>
          <w:sz w:val="24"/>
          <w:szCs w:val="24"/>
          <w:lang w:eastAsia="es-ES"/>
        </w:rPr>
        <w:t xml:space="preserve">, que no se produce en el resto de la Unión Europea. </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ED7F30">
        <w:rPr>
          <w:b/>
          <w:color w:val="4F6228" w:themeColor="accent3" w:themeShade="80"/>
          <w:sz w:val="24"/>
          <w:szCs w:val="24"/>
        </w:rPr>
        <w:t>La temporalidad afecta en mayor medida a los jóvenes</w:t>
      </w:r>
      <w:r w:rsidRPr="001D3810">
        <w:rPr>
          <w:b/>
          <w:sz w:val="24"/>
          <w:szCs w:val="24"/>
        </w:rPr>
        <w:t>,</w:t>
      </w:r>
      <w:r w:rsidRPr="001D3810">
        <w:rPr>
          <w:sz w:val="24"/>
          <w:szCs w:val="24"/>
        </w:rPr>
        <w:t xml:space="preserve"> y disminuye al aumentar la edad. </w:t>
      </w:r>
      <w:r w:rsidRPr="00ED7F30">
        <w:rPr>
          <w:b/>
          <w:color w:val="4F6228" w:themeColor="accent3" w:themeShade="80"/>
          <w:sz w:val="24"/>
          <w:szCs w:val="24"/>
        </w:rPr>
        <w:t>Pero el problema</w:t>
      </w:r>
      <w:r w:rsidR="00E05B94" w:rsidRPr="00ED7F30">
        <w:rPr>
          <w:b/>
          <w:color w:val="4F6228" w:themeColor="accent3" w:themeShade="80"/>
          <w:sz w:val="24"/>
          <w:szCs w:val="24"/>
        </w:rPr>
        <w:t>,</w:t>
      </w:r>
      <w:r w:rsidRPr="00ED7F30">
        <w:rPr>
          <w:b/>
          <w:color w:val="4F6228" w:themeColor="accent3" w:themeShade="80"/>
          <w:sz w:val="24"/>
          <w:szCs w:val="24"/>
        </w:rPr>
        <w:t xml:space="preserve"> en</w:t>
      </w:r>
      <w:r w:rsidR="00E05B94" w:rsidRPr="00ED7F30">
        <w:rPr>
          <w:b/>
          <w:color w:val="4F6228" w:themeColor="accent3" w:themeShade="80"/>
          <w:sz w:val="24"/>
          <w:szCs w:val="24"/>
        </w:rPr>
        <w:t xml:space="preserve"> toda</w:t>
      </w:r>
      <w:r w:rsidRPr="00ED7F30">
        <w:rPr>
          <w:b/>
          <w:color w:val="4F6228" w:themeColor="accent3" w:themeShade="80"/>
          <w:sz w:val="24"/>
          <w:szCs w:val="24"/>
        </w:rPr>
        <w:t xml:space="preserve"> España</w:t>
      </w:r>
      <w:r w:rsidR="00E05B94" w:rsidRPr="00ED7F30">
        <w:rPr>
          <w:b/>
          <w:color w:val="4F6228" w:themeColor="accent3" w:themeShade="80"/>
          <w:sz w:val="24"/>
          <w:szCs w:val="24"/>
        </w:rPr>
        <w:t>,</w:t>
      </w:r>
      <w:r w:rsidRPr="00ED7F30">
        <w:rPr>
          <w:b/>
          <w:color w:val="4F6228" w:themeColor="accent3" w:themeShade="80"/>
          <w:sz w:val="24"/>
          <w:szCs w:val="24"/>
        </w:rPr>
        <w:t xml:space="preserve"> está lejos de ser exclusivo de los trabajadores y las trabajadoras de menor edad.</w:t>
      </w:r>
      <w:r w:rsidRPr="001D3810">
        <w:rPr>
          <w:sz w:val="24"/>
          <w:szCs w:val="24"/>
        </w:rPr>
        <w:t xml:space="preserve"> El abuso es generalizado, e incluso la diferencia relativa respecto de la media de la zona euro aumenta con la edad. Así, la tasa de temporalidad para los menores de 25 años es en España del 74,1% y en la zona euro del 54% (un 37,2% superior en nuestro país). Para los mayores de 50 años, las tasas son del 14,2% para España y del 7,1% para el conjunto de la zona euro (un 100% superior en España). </w:t>
      </w:r>
    </w:p>
    <w:p w:rsidR="00DA0E82" w:rsidRPr="001D3810" w:rsidRDefault="00DA0E82" w:rsidP="00DA0E82">
      <w:pPr>
        <w:spacing w:after="0" w:line="240" w:lineRule="auto"/>
        <w:jc w:val="both"/>
        <w:rPr>
          <w:sz w:val="24"/>
          <w:szCs w:val="24"/>
        </w:rPr>
      </w:pPr>
    </w:p>
    <w:p w:rsidR="00C90B31" w:rsidRPr="001D3810" w:rsidRDefault="00C90B31"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C2 – </w:t>
      </w:r>
      <w:r w:rsidRPr="00ED7F30">
        <w:rPr>
          <w:b/>
          <w:i/>
          <w:color w:val="4F6228" w:themeColor="accent3" w:themeShade="80"/>
          <w:sz w:val="28"/>
          <w:szCs w:val="28"/>
        </w:rPr>
        <w:t>Tasas de temporalidad por edades y sexo</w:t>
      </w:r>
    </w:p>
    <w:p w:rsidR="00DA0E82" w:rsidRPr="00ED7F30" w:rsidRDefault="00DA0E82" w:rsidP="00DA0E82">
      <w:pPr>
        <w:spacing w:after="0" w:line="240" w:lineRule="auto"/>
        <w:jc w:val="center"/>
        <w:rPr>
          <w:color w:val="4F6228" w:themeColor="accent3" w:themeShade="80"/>
          <w:szCs w:val="24"/>
        </w:rPr>
      </w:pPr>
      <w:r w:rsidRPr="00ED7F30">
        <w:rPr>
          <w:b/>
          <w:i/>
          <w:color w:val="4F6228" w:themeColor="accent3" w:themeShade="80"/>
          <w:sz w:val="24"/>
          <w:szCs w:val="28"/>
        </w:rPr>
        <w:t>II-2017</w:t>
      </w:r>
    </w:p>
    <w:p w:rsidR="00DA0E82" w:rsidRPr="001D3810" w:rsidRDefault="00DA0E82" w:rsidP="00DA0E82">
      <w:pPr>
        <w:spacing w:after="0" w:line="240" w:lineRule="auto"/>
        <w:jc w:val="center"/>
        <w:rPr>
          <w:sz w:val="24"/>
          <w:szCs w:val="24"/>
          <w:highlight w:val="magenta"/>
        </w:rPr>
      </w:pPr>
      <w:r w:rsidRPr="001D3810">
        <w:rPr>
          <w:noProof/>
          <w:lang w:eastAsia="es-ES"/>
        </w:rPr>
        <w:drawing>
          <wp:inline distT="0" distB="0" distL="0" distR="0">
            <wp:extent cx="5035550" cy="1958598"/>
            <wp:effectExtent l="0" t="0" r="0" b="381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37920" cy="1959520"/>
                    </a:xfrm>
                    <a:prstGeom prst="rect">
                      <a:avLst/>
                    </a:prstGeom>
                    <a:noFill/>
                    <a:ln>
                      <a:noFill/>
                    </a:ln>
                  </pic:spPr>
                </pic:pic>
              </a:graphicData>
            </a:graphic>
          </wp:inline>
        </w:drawing>
      </w:r>
    </w:p>
    <w:p w:rsidR="00DA0E82" w:rsidRPr="00ED7F30" w:rsidRDefault="00DA0E82" w:rsidP="00DA0E82">
      <w:pPr>
        <w:spacing w:after="0" w:line="240" w:lineRule="auto"/>
        <w:ind w:left="709" w:right="707" w:hanging="425"/>
        <w:jc w:val="both"/>
        <w:rPr>
          <w:i/>
          <w:color w:val="4F6228" w:themeColor="accent3" w:themeShade="80"/>
          <w:sz w:val="18"/>
          <w:szCs w:val="18"/>
        </w:rPr>
      </w:pPr>
      <w:r w:rsidRPr="00ED7F30">
        <w:rPr>
          <w:i/>
          <w:color w:val="4F6228" w:themeColor="accent3" w:themeShade="80"/>
          <w:sz w:val="18"/>
          <w:szCs w:val="18"/>
        </w:rPr>
        <w:t>Fuente: Eurostat.</w:t>
      </w:r>
    </w:p>
    <w:p w:rsidR="00DA0E82" w:rsidRPr="001D3810" w:rsidRDefault="00DA0E82" w:rsidP="00DA0E82">
      <w:pPr>
        <w:spacing w:after="0" w:line="240" w:lineRule="auto"/>
        <w:jc w:val="both"/>
        <w:rPr>
          <w:sz w:val="24"/>
          <w:szCs w:val="24"/>
        </w:rPr>
      </w:pPr>
    </w:p>
    <w:p w:rsidR="00C90B31" w:rsidRPr="001D3810" w:rsidRDefault="00C90B31"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Lo cierto es que, si la masiva pérdida de empleo temporal durante los años de la crisis redujo la tasa de temporalidad, </w:t>
      </w:r>
      <w:r w:rsidRPr="00ED7F30">
        <w:rPr>
          <w:b/>
          <w:color w:val="4F6228" w:themeColor="accent3" w:themeShade="80"/>
          <w:sz w:val="24"/>
          <w:szCs w:val="24"/>
        </w:rPr>
        <w:t xml:space="preserve">ahora ha vuelto a incrementarse, y con ello el diferencial de </w:t>
      </w:r>
      <w:r w:rsidR="00C53E16" w:rsidRPr="00ED7F30">
        <w:rPr>
          <w:b/>
          <w:color w:val="4F6228" w:themeColor="accent3" w:themeShade="80"/>
          <w:sz w:val="24"/>
          <w:szCs w:val="24"/>
        </w:rPr>
        <w:t>Andalucía</w:t>
      </w:r>
      <w:r w:rsidRPr="00ED7F30">
        <w:rPr>
          <w:b/>
          <w:color w:val="4F6228" w:themeColor="accent3" w:themeShade="80"/>
          <w:sz w:val="24"/>
          <w:szCs w:val="24"/>
        </w:rPr>
        <w:t xml:space="preserve"> respecto de la media europea, que es de </w:t>
      </w:r>
      <w:r w:rsidR="00C53E16" w:rsidRPr="00ED7F30">
        <w:rPr>
          <w:b/>
          <w:color w:val="4F6228" w:themeColor="accent3" w:themeShade="80"/>
          <w:sz w:val="24"/>
          <w:szCs w:val="24"/>
        </w:rPr>
        <w:t>22</w:t>
      </w:r>
      <w:r w:rsidRPr="00ED7F30">
        <w:rPr>
          <w:b/>
          <w:color w:val="4F6228" w:themeColor="accent3" w:themeShade="80"/>
          <w:sz w:val="24"/>
          <w:szCs w:val="24"/>
        </w:rPr>
        <w:t xml:space="preserve"> puntos porcentuales</w:t>
      </w:r>
      <w:r w:rsidRPr="00ED7F30">
        <w:rPr>
          <w:color w:val="4F6228" w:themeColor="accent3" w:themeShade="80"/>
          <w:sz w:val="24"/>
          <w:szCs w:val="24"/>
        </w:rPr>
        <w:t>,</w:t>
      </w:r>
      <w:r w:rsidRPr="001D3810">
        <w:rPr>
          <w:sz w:val="24"/>
          <w:szCs w:val="24"/>
        </w:rPr>
        <w:t xml:space="preserve"> lejos de los </w:t>
      </w:r>
      <w:r w:rsidR="00C53E16" w:rsidRPr="001D3810">
        <w:rPr>
          <w:sz w:val="24"/>
          <w:szCs w:val="24"/>
        </w:rPr>
        <w:t>31</w:t>
      </w:r>
      <w:r w:rsidRPr="001D3810">
        <w:rPr>
          <w:sz w:val="24"/>
          <w:szCs w:val="24"/>
        </w:rPr>
        <w:t xml:space="preserve"> puntos que mantenía en el año 2005, pero de todas formas muy elevado, indicativo de un </w:t>
      </w:r>
      <w:r w:rsidRPr="00ED7F30">
        <w:rPr>
          <w:b/>
          <w:color w:val="4F6228" w:themeColor="accent3" w:themeShade="80"/>
          <w:sz w:val="24"/>
          <w:szCs w:val="24"/>
        </w:rPr>
        <w:t>problema estructural</w:t>
      </w:r>
      <w:r w:rsidRPr="001D3810">
        <w:rPr>
          <w:sz w:val="24"/>
          <w:szCs w:val="24"/>
        </w:rPr>
        <w:t xml:space="preserve"> que afecta a prácticamente todas las ramas de actividad y a todas las ocupaciones. </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Pero la precariedad del empleo no se manifiesta solo en la elevada temporalidad del mismo. </w:t>
      </w:r>
      <w:r w:rsidRPr="00ED7F30">
        <w:rPr>
          <w:b/>
          <w:color w:val="4F6228" w:themeColor="accent3" w:themeShade="80"/>
          <w:sz w:val="24"/>
          <w:szCs w:val="24"/>
        </w:rPr>
        <w:t xml:space="preserve">Las distintas reformas laborales desde 2010, y sobre todo, la de 2012, han promovido una </w:t>
      </w:r>
      <w:r w:rsidRPr="00ED7F30">
        <w:rPr>
          <w:b/>
          <w:i/>
          <w:color w:val="4F6228" w:themeColor="accent3" w:themeShade="80"/>
          <w:sz w:val="24"/>
          <w:szCs w:val="24"/>
        </w:rPr>
        <w:t>precariedad generalizada</w:t>
      </w:r>
      <w:r w:rsidRPr="001D3810">
        <w:rPr>
          <w:sz w:val="24"/>
          <w:szCs w:val="24"/>
        </w:rPr>
        <w:t xml:space="preserve">, que tiene otras manifestaciones que van más allá de la temporalidad (que como hemos visto, además aumenta). </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ED7F30">
        <w:rPr>
          <w:b/>
          <w:color w:val="4F6228" w:themeColor="accent3" w:themeShade="80"/>
          <w:sz w:val="24"/>
          <w:szCs w:val="24"/>
        </w:rPr>
        <w:t>El empleo a tiempo parcial es una de esas manifestaciones de la precariedad</w:t>
      </w:r>
      <w:r w:rsidRPr="001D3810">
        <w:rPr>
          <w:sz w:val="24"/>
          <w:szCs w:val="24"/>
        </w:rPr>
        <w:t>. El tiempo parcial resistió durante la crisis, aumentó mucho su peso sobre el total del empleo (del 12</w:t>
      </w:r>
      <w:r w:rsidR="00C53E16" w:rsidRPr="001D3810">
        <w:rPr>
          <w:sz w:val="24"/>
          <w:szCs w:val="24"/>
        </w:rPr>
        <w:t>,1</w:t>
      </w:r>
      <w:r w:rsidRPr="001D3810">
        <w:rPr>
          <w:sz w:val="24"/>
          <w:szCs w:val="24"/>
        </w:rPr>
        <w:t>% en 200</w:t>
      </w:r>
      <w:r w:rsidR="00C53E16" w:rsidRPr="001D3810">
        <w:rPr>
          <w:sz w:val="24"/>
          <w:szCs w:val="24"/>
        </w:rPr>
        <w:t>7</w:t>
      </w:r>
      <w:r w:rsidRPr="001D3810">
        <w:rPr>
          <w:sz w:val="24"/>
          <w:szCs w:val="24"/>
        </w:rPr>
        <w:t xml:space="preserve"> al 1</w:t>
      </w:r>
      <w:r w:rsidR="00C53E16" w:rsidRPr="001D3810">
        <w:rPr>
          <w:sz w:val="24"/>
          <w:szCs w:val="24"/>
        </w:rPr>
        <w:t>8,2</w:t>
      </w:r>
      <w:r w:rsidRPr="001D3810">
        <w:rPr>
          <w:sz w:val="24"/>
          <w:szCs w:val="24"/>
        </w:rPr>
        <w:t>% en el primer tramo de 201</w:t>
      </w:r>
      <w:r w:rsidR="00C53E16" w:rsidRPr="001D3810">
        <w:rPr>
          <w:sz w:val="24"/>
          <w:szCs w:val="24"/>
        </w:rPr>
        <w:t>5</w:t>
      </w:r>
      <w:r w:rsidRPr="001D3810">
        <w:rPr>
          <w:sz w:val="24"/>
          <w:szCs w:val="24"/>
        </w:rPr>
        <w:t xml:space="preserve">), para descender de nuevo paulatinamente con la recuperación del crecimiento económico. En el tercer trimestre de </w:t>
      </w:r>
      <w:r w:rsidR="00C53E16" w:rsidRPr="001D3810">
        <w:rPr>
          <w:sz w:val="24"/>
          <w:szCs w:val="24"/>
        </w:rPr>
        <w:t>2017</w:t>
      </w:r>
      <w:r w:rsidRPr="001D3810">
        <w:rPr>
          <w:sz w:val="24"/>
          <w:szCs w:val="24"/>
        </w:rPr>
        <w:t xml:space="preserve"> descendió por primera vez </w:t>
      </w:r>
      <w:r w:rsidR="00C53E16" w:rsidRPr="001D3810">
        <w:rPr>
          <w:sz w:val="24"/>
          <w:szCs w:val="24"/>
        </w:rPr>
        <w:t>hasta el</w:t>
      </w:r>
      <w:r w:rsidRPr="001D3810">
        <w:rPr>
          <w:sz w:val="24"/>
          <w:szCs w:val="24"/>
        </w:rPr>
        <w:t xml:space="preserve"> 1</w:t>
      </w:r>
      <w:r w:rsidR="00C53E16" w:rsidRPr="001D3810">
        <w:rPr>
          <w:sz w:val="24"/>
          <w:szCs w:val="24"/>
        </w:rPr>
        <w:t>6</w:t>
      </w:r>
      <w:r w:rsidRPr="001D3810">
        <w:rPr>
          <w:sz w:val="24"/>
          <w:szCs w:val="24"/>
        </w:rPr>
        <w:t>% desde el mismo trimestre de 2012</w:t>
      </w:r>
      <w:r w:rsidR="00C53E16" w:rsidRPr="001D3810">
        <w:rPr>
          <w:sz w:val="24"/>
          <w:szCs w:val="24"/>
        </w:rPr>
        <w:t xml:space="preserve"> (15,9%)</w:t>
      </w:r>
      <w:r w:rsidRPr="001D3810">
        <w:rPr>
          <w:sz w:val="24"/>
          <w:szCs w:val="24"/>
        </w:rPr>
        <w:t xml:space="preserve">, </w:t>
      </w:r>
      <w:r w:rsidR="00C53E16" w:rsidRPr="001D3810">
        <w:rPr>
          <w:sz w:val="24"/>
          <w:szCs w:val="24"/>
        </w:rPr>
        <w:t>pero</w:t>
      </w:r>
      <w:r w:rsidRPr="001D3810">
        <w:rPr>
          <w:sz w:val="24"/>
          <w:szCs w:val="24"/>
        </w:rPr>
        <w:t xml:space="preserve"> en el cuarto trimestre ha repuntado</w:t>
      </w:r>
      <w:r w:rsidR="00C53E16" w:rsidRPr="001D3810">
        <w:rPr>
          <w:sz w:val="24"/>
          <w:szCs w:val="24"/>
        </w:rPr>
        <w:t xml:space="preserve"> para finalizar el año nuevamente por encima de ese 16%</w:t>
      </w:r>
      <w:r w:rsidRPr="001D3810">
        <w:rPr>
          <w:sz w:val="24"/>
          <w:szCs w:val="24"/>
        </w:rPr>
        <w:t xml:space="preserve"> (1</w:t>
      </w:r>
      <w:r w:rsidR="00C53E16" w:rsidRPr="001D3810">
        <w:rPr>
          <w:sz w:val="24"/>
          <w:szCs w:val="24"/>
        </w:rPr>
        <w:t>6</w:t>
      </w:r>
      <w:r w:rsidRPr="001D3810">
        <w:rPr>
          <w:sz w:val="24"/>
          <w:szCs w:val="24"/>
        </w:rPr>
        <w:t>,</w:t>
      </w:r>
      <w:r w:rsidR="00C53E16" w:rsidRPr="001D3810">
        <w:rPr>
          <w:sz w:val="24"/>
          <w:szCs w:val="24"/>
        </w:rPr>
        <w:t>2</w:t>
      </w:r>
      <w:r w:rsidRPr="001D3810">
        <w:rPr>
          <w:sz w:val="24"/>
          <w:szCs w:val="24"/>
        </w:rPr>
        <w:t xml:space="preserve">%). </w:t>
      </w:r>
    </w:p>
    <w:p w:rsidR="00DA0E82" w:rsidRPr="001D3810" w:rsidRDefault="00DA0E82" w:rsidP="00DA0E82">
      <w:pPr>
        <w:spacing w:after="0" w:line="240" w:lineRule="auto"/>
        <w:jc w:val="both"/>
        <w:rPr>
          <w:sz w:val="24"/>
          <w:szCs w:val="24"/>
        </w:rPr>
      </w:pPr>
    </w:p>
    <w:p w:rsidR="00C90B31" w:rsidRPr="001D3810" w:rsidRDefault="00DA0E82" w:rsidP="00DA0E82">
      <w:pPr>
        <w:spacing w:after="0" w:line="240" w:lineRule="auto"/>
        <w:jc w:val="both"/>
        <w:rPr>
          <w:sz w:val="24"/>
          <w:szCs w:val="24"/>
        </w:rPr>
      </w:pPr>
      <w:r w:rsidRPr="001D3810">
        <w:rPr>
          <w:sz w:val="24"/>
          <w:szCs w:val="24"/>
        </w:rPr>
        <w:t>El tiempo parcial puede ser una fórmula que compatibilice una necesaria flexibilidad para las empresas con la voluntad de las personas trabajadoras de conciliar otras actividades vitales (estudios, maternidad/paternid</w:t>
      </w:r>
      <w:r w:rsidR="00C90B31" w:rsidRPr="001D3810">
        <w:rPr>
          <w:sz w:val="24"/>
          <w:szCs w:val="24"/>
        </w:rPr>
        <w:t>ad, cuidados familiares, etc.).</w:t>
      </w:r>
    </w:p>
    <w:p w:rsidR="00C90B31" w:rsidRPr="001D3810" w:rsidRDefault="00C90B31" w:rsidP="00DA0E82">
      <w:pPr>
        <w:spacing w:after="0" w:line="240" w:lineRule="auto"/>
        <w:jc w:val="both"/>
        <w:rPr>
          <w:sz w:val="24"/>
          <w:szCs w:val="24"/>
        </w:rPr>
      </w:pPr>
    </w:p>
    <w:p w:rsidR="00DA0E82" w:rsidRPr="00ED7F30" w:rsidRDefault="00DA0E82" w:rsidP="00DA0E82">
      <w:pPr>
        <w:spacing w:after="0" w:line="240" w:lineRule="auto"/>
        <w:jc w:val="both"/>
        <w:rPr>
          <w:b/>
          <w:color w:val="4F6228" w:themeColor="accent3" w:themeShade="80"/>
          <w:sz w:val="24"/>
          <w:szCs w:val="24"/>
        </w:rPr>
      </w:pPr>
      <w:r w:rsidRPr="001D3810">
        <w:rPr>
          <w:sz w:val="24"/>
          <w:szCs w:val="24"/>
        </w:rPr>
        <w:t xml:space="preserve">Pero </w:t>
      </w:r>
      <w:r w:rsidRPr="00ED7F30">
        <w:rPr>
          <w:b/>
          <w:color w:val="4F6228" w:themeColor="accent3" w:themeShade="80"/>
          <w:sz w:val="24"/>
          <w:szCs w:val="24"/>
        </w:rPr>
        <w:t>ese no es el caso en España, con la regulación ultraflexible que tiene el tiempo parcial, configurado prácticamente como un contrato “</w:t>
      </w:r>
      <w:r w:rsidRPr="00ED7F30">
        <w:rPr>
          <w:b/>
          <w:i/>
          <w:color w:val="4F6228" w:themeColor="accent3" w:themeShade="80"/>
          <w:sz w:val="24"/>
          <w:szCs w:val="24"/>
        </w:rPr>
        <w:t>a llamada”</w:t>
      </w:r>
      <w:r w:rsidRPr="00ED7F30">
        <w:rPr>
          <w:b/>
          <w:color w:val="4F6228" w:themeColor="accent3" w:themeShade="80"/>
          <w:sz w:val="24"/>
          <w:szCs w:val="24"/>
        </w:rPr>
        <w:t xml:space="preserve">, con el que es imposible cualquier tipo de conciliación. </w:t>
      </w:r>
    </w:p>
    <w:p w:rsidR="00DA0E82" w:rsidRPr="00ED7F30" w:rsidRDefault="00DA0E82" w:rsidP="00DA0E82">
      <w:pPr>
        <w:spacing w:after="0" w:line="240" w:lineRule="auto"/>
        <w:jc w:val="both"/>
        <w:rPr>
          <w:color w:val="4F6228" w:themeColor="accent3" w:themeShade="80"/>
          <w:sz w:val="24"/>
          <w:szCs w:val="24"/>
        </w:rPr>
      </w:pPr>
    </w:p>
    <w:p w:rsidR="00912730" w:rsidRPr="001D3810" w:rsidRDefault="00912730"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lastRenderedPageBreak/>
        <w:t xml:space="preserve">G5 - </w:t>
      </w:r>
      <w:r w:rsidRPr="00ED7F30">
        <w:rPr>
          <w:b/>
          <w:i/>
          <w:color w:val="4F6228" w:themeColor="accent3" w:themeShade="80"/>
          <w:sz w:val="28"/>
          <w:szCs w:val="28"/>
        </w:rPr>
        <w:t>Porcentaje de empleo a tiempo parcial involuntario en la UE</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5240593" cy="312420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43724" cy="3126066"/>
                    </a:xfrm>
                    <a:prstGeom prst="rect">
                      <a:avLst/>
                    </a:prstGeom>
                    <a:noFill/>
                    <a:ln>
                      <a:noFill/>
                    </a:ln>
                  </pic:spPr>
                </pic:pic>
              </a:graphicData>
            </a:graphic>
          </wp:inline>
        </w:drawing>
      </w:r>
    </w:p>
    <w:p w:rsidR="00DA0E82" w:rsidRPr="00ED7F30" w:rsidRDefault="00DA0E82" w:rsidP="00DA0E82">
      <w:pPr>
        <w:spacing w:after="0" w:line="240" w:lineRule="auto"/>
        <w:ind w:firstLine="142"/>
        <w:jc w:val="both"/>
        <w:rPr>
          <w:i/>
          <w:color w:val="4F6228" w:themeColor="accent3" w:themeShade="80"/>
          <w:sz w:val="18"/>
          <w:szCs w:val="18"/>
        </w:rPr>
      </w:pPr>
      <w:r w:rsidRPr="00ED7F30">
        <w:rPr>
          <w:i/>
          <w:color w:val="4F6228" w:themeColor="accent3" w:themeShade="80"/>
          <w:sz w:val="18"/>
          <w:szCs w:val="18"/>
        </w:rPr>
        <w:t>Fuente: Eurostat</w:t>
      </w:r>
    </w:p>
    <w:p w:rsidR="00DA0E82" w:rsidRPr="001D3810" w:rsidRDefault="00DA0E82" w:rsidP="00DA0E82">
      <w:pPr>
        <w:spacing w:after="0" w:line="240" w:lineRule="auto"/>
        <w:jc w:val="both"/>
        <w:rPr>
          <w:b/>
          <w:sz w:val="24"/>
          <w:szCs w:val="24"/>
        </w:rPr>
      </w:pPr>
    </w:p>
    <w:p w:rsidR="00912730" w:rsidRPr="001D3810" w:rsidRDefault="00912730" w:rsidP="00912730">
      <w:pPr>
        <w:spacing w:after="0" w:line="240" w:lineRule="auto"/>
        <w:jc w:val="both"/>
        <w:rPr>
          <w:sz w:val="24"/>
          <w:szCs w:val="24"/>
        </w:rPr>
      </w:pPr>
      <w:r w:rsidRPr="001D3810">
        <w:rPr>
          <w:sz w:val="24"/>
          <w:szCs w:val="24"/>
        </w:rPr>
        <w:t>Por eso</w:t>
      </w:r>
      <w:r w:rsidR="00C53E16" w:rsidRPr="001D3810">
        <w:rPr>
          <w:sz w:val="24"/>
          <w:szCs w:val="24"/>
        </w:rPr>
        <w:t>,</w:t>
      </w:r>
      <w:r w:rsidRPr="001D3810">
        <w:rPr>
          <w:sz w:val="24"/>
          <w:szCs w:val="24"/>
        </w:rPr>
        <w:t xml:space="preserve"> </w:t>
      </w:r>
      <w:r w:rsidRPr="00ED7F30">
        <w:rPr>
          <w:b/>
          <w:color w:val="4F6228" w:themeColor="accent3" w:themeShade="80"/>
          <w:sz w:val="24"/>
          <w:szCs w:val="24"/>
        </w:rPr>
        <w:t xml:space="preserve">la principal característica del empleo a tiempo parcial en </w:t>
      </w:r>
      <w:r w:rsidR="00C53E16" w:rsidRPr="00ED7F30">
        <w:rPr>
          <w:b/>
          <w:color w:val="4F6228" w:themeColor="accent3" w:themeShade="80"/>
          <w:sz w:val="24"/>
          <w:szCs w:val="24"/>
        </w:rPr>
        <w:t>Andalucía</w:t>
      </w:r>
      <w:r w:rsidRPr="00ED7F30">
        <w:rPr>
          <w:b/>
          <w:color w:val="4F6228" w:themeColor="accent3" w:themeShade="80"/>
          <w:sz w:val="24"/>
          <w:szCs w:val="24"/>
        </w:rPr>
        <w:t xml:space="preserve"> es que es eminentemente </w:t>
      </w:r>
      <w:r w:rsidRPr="00ED7F30">
        <w:rPr>
          <w:b/>
          <w:i/>
          <w:color w:val="4F6228" w:themeColor="accent3" w:themeShade="80"/>
          <w:sz w:val="24"/>
          <w:szCs w:val="24"/>
        </w:rPr>
        <w:t>involuntario</w:t>
      </w:r>
      <w:r w:rsidRPr="00ED7F30">
        <w:rPr>
          <w:b/>
          <w:color w:val="4F6228" w:themeColor="accent3" w:themeShade="80"/>
          <w:sz w:val="24"/>
          <w:szCs w:val="24"/>
        </w:rPr>
        <w:t xml:space="preserve">: los trabajadores lo aceptan porque no encuentran un empleo a jornada completa. </w:t>
      </w:r>
      <w:r w:rsidRPr="001D3810">
        <w:rPr>
          <w:sz w:val="24"/>
          <w:szCs w:val="24"/>
        </w:rPr>
        <w:t xml:space="preserve">Es, por tanto, una situación </w:t>
      </w:r>
      <w:r w:rsidRPr="00ED7F30">
        <w:rPr>
          <w:b/>
          <w:color w:val="4F6228" w:themeColor="accent3" w:themeShade="80"/>
          <w:sz w:val="24"/>
          <w:szCs w:val="24"/>
        </w:rPr>
        <w:t xml:space="preserve">de lo que se conoce como </w:t>
      </w:r>
      <w:r w:rsidRPr="00ED7F30">
        <w:rPr>
          <w:b/>
          <w:i/>
          <w:color w:val="4F6228" w:themeColor="accent3" w:themeShade="80"/>
          <w:sz w:val="24"/>
          <w:szCs w:val="24"/>
        </w:rPr>
        <w:t>subempleo</w:t>
      </w:r>
      <w:r w:rsidRPr="00ED7F30">
        <w:rPr>
          <w:b/>
          <w:color w:val="4F6228" w:themeColor="accent3" w:themeShade="80"/>
          <w:sz w:val="24"/>
          <w:szCs w:val="24"/>
        </w:rPr>
        <w:t xml:space="preserve">, </w:t>
      </w:r>
      <w:r w:rsidRPr="001D3810">
        <w:rPr>
          <w:sz w:val="24"/>
          <w:szCs w:val="24"/>
        </w:rPr>
        <w:t xml:space="preserve">puesto que esos asalariados y asalariadas trabajan menos horas de las que desean y están dispuestos a desarrollar. El </w:t>
      </w:r>
      <w:r w:rsidR="00C53E16" w:rsidRPr="001D3810">
        <w:rPr>
          <w:sz w:val="24"/>
          <w:szCs w:val="24"/>
        </w:rPr>
        <w:t>7</w:t>
      </w:r>
      <w:r w:rsidRPr="001D3810">
        <w:rPr>
          <w:sz w:val="24"/>
          <w:szCs w:val="24"/>
        </w:rPr>
        <w:t>1,</w:t>
      </w:r>
      <w:r w:rsidR="00C53E16" w:rsidRPr="001D3810">
        <w:rPr>
          <w:sz w:val="24"/>
          <w:szCs w:val="24"/>
        </w:rPr>
        <w:t>1</w:t>
      </w:r>
      <w:r w:rsidRPr="001D3810">
        <w:rPr>
          <w:sz w:val="24"/>
          <w:szCs w:val="24"/>
        </w:rPr>
        <w:t>% de los ocupados a jornada parcial se encontraban en 2016 en esa situación (</w:t>
      </w:r>
      <w:r w:rsidRPr="001D3810">
        <w:rPr>
          <w:i/>
          <w:sz w:val="24"/>
          <w:szCs w:val="24"/>
        </w:rPr>
        <w:t>Eurostat</w:t>
      </w:r>
      <w:r w:rsidRPr="001D3810">
        <w:rPr>
          <w:sz w:val="24"/>
          <w:szCs w:val="24"/>
        </w:rPr>
        <w:t xml:space="preserve">), </w:t>
      </w:r>
      <w:r w:rsidRPr="001D3810">
        <w:rPr>
          <w:i/>
          <w:sz w:val="24"/>
          <w:szCs w:val="24"/>
        </w:rPr>
        <w:t>obligados</w:t>
      </w:r>
      <w:r w:rsidRPr="001D3810">
        <w:rPr>
          <w:sz w:val="24"/>
          <w:szCs w:val="24"/>
        </w:rPr>
        <w:t xml:space="preserve"> a trabajar a jornada parcial. En 20</w:t>
      </w:r>
      <w:r w:rsidR="00C53E16" w:rsidRPr="001D3810">
        <w:rPr>
          <w:sz w:val="24"/>
          <w:szCs w:val="24"/>
        </w:rPr>
        <w:t>1</w:t>
      </w:r>
      <w:r w:rsidRPr="001D3810">
        <w:rPr>
          <w:sz w:val="24"/>
          <w:szCs w:val="24"/>
        </w:rPr>
        <w:t xml:space="preserve">7 este porcentaje </w:t>
      </w:r>
      <w:r w:rsidR="00C53E16" w:rsidRPr="001D3810">
        <w:rPr>
          <w:sz w:val="24"/>
          <w:szCs w:val="24"/>
        </w:rPr>
        <w:t>ha sido</w:t>
      </w:r>
      <w:r w:rsidRPr="001D3810">
        <w:rPr>
          <w:sz w:val="24"/>
          <w:szCs w:val="24"/>
        </w:rPr>
        <w:t xml:space="preserve"> del </w:t>
      </w:r>
      <w:r w:rsidR="00C53E16" w:rsidRPr="001D3810">
        <w:rPr>
          <w:sz w:val="24"/>
          <w:szCs w:val="24"/>
        </w:rPr>
        <w:t>62</w:t>
      </w:r>
      <w:r w:rsidRPr="001D3810">
        <w:rPr>
          <w:sz w:val="24"/>
          <w:szCs w:val="24"/>
        </w:rPr>
        <w:t xml:space="preserve">%. </w:t>
      </w:r>
      <w:r w:rsidRPr="001D3810">
        <w:rPr>
          <w:i/>
          <w:sz w:val="24"/>
          <w:szCs w:val="24"/>
        </w:rPr>
        <w:t>(Gráfico 5)</w:t>
      </w:r>
    </w:p>
    <w:p w:rsidR="00912730" w:rsidRPr="001D3810" w:rsidRDefault="00912730" w:rsidP="00DA0E82">
      <w:pPr>
        <w:spacing w:after="0" w:line="240" w:lineRule="auto"/>
        <w:jc w:val="both"/>
        <w:rPr>
          <w:b/>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G6 - </w:t>
      </w:r>
      <w:r w:rsidRPr="00ED7F30">
        <w:rPr>
          <w:b/>
          <w:i/>
          <w:color w:val="4F6228" w:themeColor="accent3" w:themeShade="80"/>
          <w:sz w:val="28"/>
          <w:szCs w:val="28"/>
        </w:rPr>
        <w:t>Motivos por los que el trabajador tiene un empleo a tiempo parcial</w:t>
      </w:r>
    </w:p>
    <w:p w:rsidR="00DA0E82" w:rsidRPr="00ED7F30" w:rsidRDefault="00DA0E82" w:rsidP="00DA0E82">
      <w:pPr>
        <w:spacing w:after="0" w:line="240" w:lineRule="auto"/>
        <w:jc w:val="center"/>
        <w:rPr>
          <w:b/>
          <w:i/>
          <w:color w:val="4F6228" w:themeColor="accent3" w:themeShade="80"/>
          <w:sz w:val="24"/>
          <w:szCs w:val="28"/>
        </w:rPr>
      </w:pPr>
      <w:r w:rsidRPr="00ED7F30">
        <w:rPr>
          <w:b/>
          <w:i/>
          <w:color w:val="4F6228" w:themeColor="accent3" w:themeShade="80"/>
          <w:sz w:val="24"/>
          <w:szCs w:val="28"/>
        </w:rPr>
        <w:t>Ambos sexos</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4915407" cy="311150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20228" cy="3114552"/>
                    </a:xfrm>
                    <a:prstGeom prst="rect">
                      <a:avLst/>
                    </a:prstGeom>
                    <a:noFill/>
                    <a:ln>
                      <a:noFill/>
                    </a:ln>
                  </pic:spPr>
                </pic:pic>
              </a:graphicData>
            </a:graphic>
          </wp:inline>
        </w:drawing>
      </w:r>
    </w:p>
    <w:p w:rsidR="00DA0E82" w:rsidRPr="00ED7F30" w:rsidRDefault="00DA0E82" w:rsidP="00DA0E82">
      <w:pPr>
        <w:spacing w:after="0" w:line="240" w:lineRule="auto"/>
        <w:ind w:firstLine="284"/>
        <w:jc w:val="both"/>
        <w:rPr>
          <w:i/>
          <w:color w:val="4F6228" w:themeColor="accent3" w:themeShade="80"/>
          <w:sz w:val="18"/>
          <w:szCs w:val="18"/>
        </w:rPr>
      </w:pPr>
      <w:r w:rsidRPr="00ED7F30">
        <w:rPr>
          <w:i/>
          <w:color w:val="4F6228" w:themeColor="accent3" w:themeShade="80"/>
          <w:sz w:val="18"/>
          <w:szCs w:val="18"/>
        </w:rPr>
        <w:t>Fuente: EPA. INE</w:t>
      </w:r>
    </w:p>
    <w:p w:rsidR="00912730" w:rsidRPr="00ED7F30" w:rsidRDefault="00912730" w:rsidP="00912730">
      <w:pPr>
        <w:spacing w:after="0" w:line="240" w:lineRule="auto"/>
        <w:jc w:val="both"/>
        <w:rPr>
          <w:b/>
          <w:color w:val="4F6228" w:themeColor="accent3" w:themeShade="80"/>
          <w:sz w:val="24"/>
          <w:szCs w:val="24"/>
        </w:rPr>
      </w:pPr>
      <w:r w:rsidRPr="001D3810">
        <w:rPr>
          <w:sz w:val="24"/>
          <w:szCs w:val="24"/>
        </w:rPr>
        <w:lastRenderedPageBreak/>
        <w:t xml:space="preserve">Los últimos datos de la EPA (cuarto trimestre de 2017) muestran que el 57,3% de los trabajadores a tiempo parcial son involuntarios. Y frente a esta circunstancia muy mayoritaria, el resto, que deberían ser las que dieran sentido a la naturaleza del contrato a tiempo parcial, son llamativamente minoritarias. Por ejemplo, </w:t>
      </w:r>
      <w:r w:rsidRPr="00ED7F30">
        <w:rPr>
          <w:b/>
          <w:color w:val="4F6228" w:themeColor="accent3" w:themeShade="80"/>
          <w:sz w:val="24"/>
          <w:szCs w:val="24"/>
        </w:rPr>
        <w:t xml:space="preserve">solo el 7,3% de los ocupados a jornada parcial alega su utilización porque sigue cursos de enseñanza o formación, y un 10% dice que es para atender el cuidado de niños, enfermos o mayores. </w:t>
      </w:r>
    </w:p>
    <w:p w:rsidR="00912730" w:rsidRPr="001D3810" w:rsidRDefault="00912730"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Este reparto involuntario del trabajo está llevando a una </w:t>
      </w:r>
      <w:r w:rsidRPr="00ED7F30">
        <w:rPr>
          <w:b/>
          <w:color w:val="4F6228" w:themeColor="accent3" w:themeShade="80"/>
          <w:sz w:val="24"/>
          <w:szCs w:val="24"/>
        </w:rPr>
        <w:t>reducción del número de horas efectivamente trabajadas por cada ocupado</w:t>
      </w:r>
      <w:r w:rsidRPr="001D3810">
        <w:rPr>
          <w:sz w:val="24"/>
          <w:szCs w:val="24"/>
        </w:rPr>
        <w:t>, que ha caído en 81,9 horas al año desde 2002, en 29,9 horas desde 2008 e, incluso, en 10,9 horas desde 2013, pese al crecimiento económico registrado de 2014 a 2017</w:t>
      </w:r>
      <w:r w:rsidRPr="001D3810">
        <w:rPr>
          <w:sz w:val="24"/>
          <w:szCs w:val="24"/>
          <w:vertAlign w:val="superscript"/>
        </w:rPr>
        <w:footnoteReference w:id="3"/>
      </w:r>
      <w:r w:rsidRPr="001D3810">
        <w:rPr>
          <w:sz w:val="24"/>
          <w:szCs w:val="24"/>
        </w:rPr>
        <w:t xml:space="preserve">. Este es un reparto del empleo ineficiente, puesto que implica un aumento del llamado </w:t>
      </w:r>
      <w:r w:rsidRPr="001D3810">
        <w:rPr>
          <w:i/>
          <w:sz w:val="24"/>
          <w:szCs w:val="24"/>
        </w:rPr>
        <w:t>subempleo</w:t>
      </w:r>
      <w:r w:rsidRPr="001D3810">
        <w:rPr>
          <w:sz w:val="24"/>
          <w:szCs w:val="24"/>
        </w:rPr>
        <w:t xml:space="preserve"> y, en definitiva, del empleo precario y poco productivo.</w:t>
      </w: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both"/>
        <w:rPr>
          <w:color w:val="4F6228" w:themeColor="accent3" w:themeShade="80"/>
          <w:sz w:val="24"/>
          <w:szCs w:val="24"/>
        </w:rPr>
      </w:pPr>
      <w:r w:rsidRPr="001D3810">
        <w:rPr>
          <w:sz w:val="24"/>
          <w:szCs w:val="24"/>
        </w:rPr>
        <w:t>Todo ello es indicativo de que</w:t>
      </w:r>
      <w:r w:rsidRPr="001D3810">
        <w:rPr>
          <w:b/>
          <w:sz w:val="24"/>
          <w:szCs w:val="24"/>
        </w:rPr>
        <w:t xml:space="preserve"> </w:t>
      </w:r>
      <w:r w:rsidRPr="00ED7F30">
        <w:rPr>
          <w:b/>
          <w:color w:val="4F6228" w:themeColor="accent3" w:themeShade="80"/>
          <w:sz w:val="24"/>
          <w:szCs w:val="24"/>
        </w:rPr>
        <w:t xml:space="preserve">el contrato a tiempo parcial en nuestro país es un </w:t>
      </w:r>
      <w:r w:rsidRPr="00ED7F30">
        <w:rPr>
          <w:b/>
          <w:i/>
          <w:color w:val="4F6228" w:themeColor="accent3" w:themeShade="80"/>
          <w:sz w:val="24"/>
          <w:szCs w:val="24"/>
        </w:rPr>
        <w:t xml:space="preserve">contrato fallido, </w:t>
      </w:r>
      <w:r w:rsidRPr="00ED7F30">
        <w:rPr>
          <w:b/>
          <w:color w:val="4F6228" w:themeColor="accent3" w:themeShade="80"/>
          <w:sz w:val="24"/>
          <w:szCs w:val="24"/>
        </w:rPr>
        <w:t>que se ha convertido en un instrumento de precariedad laboral.</w:t>
      </w:r>
      <w:r w:rsidRPr="001D3810">
        <w:rPr>
          <w:b/>
          <w:sz w:val="24"/>
          <w:szCs w:val="24"/>
        </w:rPr>
        <w:t xml:space="preserve"> </w:t>
      </w:r>
      <w:r w:rsidRPr="001D3810">
        <w:rPr>
          <w:sz w:val="24"/>
          <w:szCs w:val="24"/>
        </w:rPr>
        <w:t>Analizando los datos</w:t>
      </w:r>
      <w:r w:rsidR="001F12C4" w:rsidRPr="001D3810">
        <w:rPr>
          <w:sz w:val="24"/>
          <w:szCs w:val="24"/>
        </w:rPr>
        <w:t xml:space="preserve"> andaluces</w:t>
      </w:r>
      <w:r w:rsidRPr="001D3810">
        <w:rPr>
          <w:sz w:val="24"/>
          <w:szCs w:val="24"/>
        </w:rPr>
        <w:t xml:space="preserve"> de contratación, también se aprecia el elevado nivel de precariedad reinante. </w:t>
      </w:r>
      <w:r w:rsidRPr="00ED7F30">
        <w:rPr>
          <w:b/>
          <w:color w:val="4F6228" w:themeColor="accent3" w:themeShade="80"/>
          <w:sz w:val="24"/>
          <w:szCs w:val="24"/>
        </w:rPr>
        <w:t xml:space="preserve">Los contratos indefinidos siguen sin ganar peso sobre el total de manera relevante, y tan solo suponen </w:t>
      </w:r>
      <w:r w:rsidR="001F12C4" w:rsidRPr="00ED7F30">
        <w:rPr>
          <w:b/>
          <w:color w:val="4F6228" w:themeColor="accent3" w:themeShade="80"/>
          <w:sz w:val="24"/>
          <w:szCs w:val="24"/>
        </w:rPr>
        <w:t>5</w:t>
      </w:r>
      <w:r w:rsidRPr="00ED7F30">
        <w:rPr>
          <w:b/>
          <w:color w:val="4F6228" w:themeColor="accent3" w:themeShade="80"/>
          <w:sz w:val="24"/>
          <w:szCs w:val="24"/>
        </w:rPr>
        <w:t xml:space="preserve"> de cada 100 contratos concertados</w:t>
      </w:r>
      <w:r w:rsidRPr="00ED7F30">
        <w:rPr>
          <w:color w:val="4F6228" w:themeColor="accent3" w:themeShade="80"/>
          <w:sz w:val="24"/>
          <w:szCs w:val="24"/>
        </w:rPr>
        <w:t>.</w:t>
      </w:r>
    </w:p>
    <w:p w:rsidR="00DA0E82" w:rsidRPr="00ED7F30" w:rsidRDefault="00DA0E82" w:rsidP="00DA0E82">
      <w:pPr>
        <w:spacing w:after="0" w:line="240" w:lineRule="auto"/>
        <w:jc w:val="both"/>
        <w:rPr>
          <w:b/>
          <w:color w:val="4F6228" w:themeColor="accent3" w:themeShade="80"/>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G7 - </w:t>
      </w:r>
      <w:r w:rsidRPr="00ED7F30">
        <w:rPr>
          <w:b/>
          <w:i/>
          <w:color w:val="4F6228" w:themeColor="accent3" w:themeShade="80"/>
          <w:sz w:val="28"/>
          <w:szCs w:val="28"/>
        </w:rPr>
        <w:t>Porcentaje de contratos indefinidos sobre el total</w:t>
      </w:r>
    </w:p>
    <w:p w:rsidR="00DA0E82" w:rsidRPr="001D3810" w:rsidRDefault="001F12C4" w:rsidP="00DA0E82">
      <w:pPr>
        <w:spacing w:after="0" w:line="240" w:lineRule="auto"/>
        <w:jc w:val="center"/>
        <w:rPr>
          <w:sz w:val="24"/>
          <w:szCs w:val="24"/>
        </w:rPr>
      </w:pPr>
      <w:r w:rsidRPr="001D3810">
        <w:rPr>
          <w:noProof/>
          <w:sz w:val="24"/>
          <w:szCs w:val="24"/>
          <w:lang w:eastAsia="es-ES"/>
        </w:rPr>
        <w:drawing>
          <wp:inline distT="0" distB="0" distL="0" distR="0">
            <wp:extent cx="5400040" cy="3152775"/>
            <wp:effectExtent l="19050" t="0" r="10160" b="0"/>
            <wp:docPr id="1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A0E82" w:rsidRPr="00ED7F30" w:rsidRDefault="00DA0E82" w:rsidP="00DA0E82">
      <w:pPr>
        <w:spacing w:after="0" w:line="240" w:lineRule="auto"/>
        <w:ind w:left="709" w:right="707"/>
        <w:jc w:val="both"/>
        <w:rPr>
          <w:i/>
          <w:color w:val="4F6228" w:themeColor="accent3" w:themeShade="80"/>
          <w:sz w:val="18"/>
          <w:szCs w:val="18"/>
        </w:rPr>
      </w:pPr>
      <w:r w:rsidRPr="00ED7F30">
        <w:rPr>
          <w:i/>
          <w:color w:val="4F6228" w:themeColor="accent3" w:themeShade="80"/>
          <w:sz w:val="18"/>
          <w:szCs w:val="18"/>
        </w:rPr>
        <w:t>Fuente: SEPE. Ministerio de Empleo y Seguridad Social</w:t>
      </w:r>
    </w:p>
    <w:p w:rsidR="00DA0E82" w:rsidRPr="001D3810" w:rsidRDefault="00DA0E82" w:rsidP="00DA0E82">
      <w:pPr>
        <w:spacing w:after="0" w:line="240" w:lineRule="auto"/>
        <w:ind w:left="709"/>
        <w:jc w:val="both"/>
        <w:rPr>
          <w:sz w:val="24"/>
          <w:szCs w:val="24"/>
        </w:rPr>
      </w:pPr>
    </w:p>
    <w:p w:rsidR="00DA0E82" w:rsidRDefault="00DA0E82" w:rsidP="00DA0E82">
      <w:pPr>
        <w:spacing w:after="0" w:line="240" w:lineRule="auto"/>
        <w:jc w:val="both"/>
        <w:rPr>
          <w:b/>
          <w:color w:val="4F6228" w:themeColor="accent3" w:themeShade="80"/>
          <w:sz w:val="24"/>
          <w:szCs w:val="24"/>
        </w:rPr>
      </w:pPr>
      <w:r w:rsidRPr="001D3810">
        <w:rPr>
          <w:sz w:val="24"/>
          <w:szCs w:val="24"/>
        </w:rPr>
        <w:t xml:space="preserve">Y, sobre todo, los contratos que se firman cada vez tienen una duración menor. </w:t>
      </w:r>
      <w:r w:rsidRPr="00ED7F30">
        <w:rPr>
          <w:b/>
          <w:color w:val="4F6228" w:themeColor="accent3" w:themeShade="80"/>
          <w:sz w:val="24"/>
          <w:szCs w:val="24"/>
        </w:rPr>
        <w:t>Ha aumentado constantemente el peso de los contratos de duración muy reducida: en 20</w:t>
      </w:r>
      <w:r w:rsidR="001F12C4" w:rsidRPr="00ED7F30">
        <w:rPr>
          <w:b/>
          <w:color w:val="4F6228" w:themeColor="accent3" w:themeShade="80"/>
          <w:sz w:val="24"/>
          <w:szCs w:val="24"/>
        </w:rPr>
        <w:t>1</w:t>
      </w:r>
      <w:r w:rsidRPr="00ED7F30">
        <w:rPr>
          <w:b/>
          <w:color w:val="4F6228" w:themeColor="accent3" w:themeShade="80"/>
          <w:sz w:val="24"/>
          <w:szCs w:val="24"/>
        </w:rPr>
        <w:t>0 los contratos de menos de 7 días suponían el 1</w:t>
      </w:r>
      <w:r w:rsidR="001F12C4" w:rsidRPr="00ED7F30">
        <w:rPr>
          <w:b/>
          <w:color w:val="4F6228" w:themeColor="accent3" w:themeShade="80"/>
          <w:sz w:val="24"/>
          <w:szCs w:val="24"/>
        </w:rPr>
        <w:t>3,6</w:t>
      </w:r>
      <w:r w:rsidRPr="00ED7F30">
        <w:rPr>
          <w:b/>
          <w:color w:val="4F6228" w:themeColor="accent3" w:themeShade="80"/>
          <w:sz w:val="24"/>
          <w:szCs w:val="24"/>
        </w:rPr>
        <w:t>% del total; en 201</w:t>
      </w:r>
      <w:r w:rsidR="001F12C4" w:rsidRPr="00ED7F30">
        <w:rPr>
          <w:b/>
          <w:color w:val="4F6228" w:themeColor="accent3" w:themeShade="80"/>
          <w:sz w:val="24"/>
          <w:szCs w:val="24"/>
        </w:rPr>
        <w:t>7</w:t>
      </w:r>
      <w:r w:rsidRPr="00ED7F30">
        <w:rPr>
          <w:b/>
          <w:color w:val="4F6228" w:themeColor="accent3" w:themeShade="80"/>
          <w:sz w:val="24"/>
          <w:szCs w:val="24"/>
        </w:rPr>
        <w:t xml:space="preserve"> </w:t>
      </w:r>
      <w:r w:rsidR="001F12C4" w:rsidRPr="00ED7F30">
        <w:rPr>
          <w:b/>
          <w:color w:val="4F6228" w:themeColor="accent3" w:themeShade="80"/>
          <w:sz w:val="24"/>
          <w:szCs w:val="24"/>
        </w:rPr>
        <w:t>fueron</w:t>
      </w:r>
      <w:r w:rsidRPr="00ED7F30">
        <w:rPr>
          <w:b/>
          <w:color w:val="4F6228" w:themeColor="accent3" w:themeShade="80"/>
          <w:sz w:val="24"/>
          <w:szCs w:val="24"/>
        </w:rPr>
        <w:t xml:space="preserve"> el 2</w:t>
      </w:r>
      <w:r w:rsidR="001F12C4" w:rsidRPr="00ED7F30">
        <w:rPr>
          <w:b/>
          <w:color w:val="4F6228" w:themeColor="accent3" w:themeShade="80"/>
          <w:sz w:val="24"/>
          <w:szCs w:val="24"/>
        </w:rPr>
        <w:t>0</w:t>
      </w:r>
      <w:r w:rsidRPr="00ED7F30">
        <w:rPr>
          <w:b/>
          <w:color w:val="4F6228" w:themeColor="accent3" w:themeShade="80"/>
          <w:sz w:val="24"/>
          <w:szCs w:val="24"/>
        </w:rPr>
        <w:t>,</w:t>
      </w:r>
      <w:r w:rsidR="001F12C4" w:rsidRPr="00ED7F30">
        <w:rPr>
          <w:b/>
          <w:color w:val="4F6228" w:themeColor="accent3" w:themeShade="80"/>
          <w:sz w:val="24"/>
          <w:szCs w:val="24"/>
        </w:rPr>
        <w:t>4</w:t>
      </w:r>
      <w:r w:rsidRPr="00ED7F30">
        <w:rPr>
          <w:b/>
          <w:color w:val="4F6228" w:themeColor="accent3" w:themeShade="80"/>
          <w:sz w:val="24"/>
          <w:szCs w:val="24"/>
        </w:rPr>
        <w:t>%, es decir, más de uno de cada c</w:t>
      </w:r>
      <w:r w:rsidR="001F12C4" w:rsidRPr="00ED7F30">
        <w:rPr>
          <w:b/>
          <w:color w:val="4F6228" w:themeColor="accent3" w:themeShade="80"/>
          <w:sz w:val="24"/>
          <w:szCs w:val="24"/>
        </w:rPr>
        <w:t>inc</w:t>
      </w:r>
      <w:r w:rsidRPr="00ED7F30">
        <w:rPr>
          <w:b/>
          <w:color w:val="4F6228" w:themeColor="accent3" w:themeShade="80"/>
          <w:sz w:val="24"/>
          <w:szCs w:val="24"/>
        </w:rPr>
        <w:t>o.</w:t>
      </w:r>
    </w:p>
    <w:p w:rsidR="00ED7F30" w:rsidRPr="00ED7F30" w:rsidRDefault="00ED7F30" w:rsidP="00DA0E82">
      <w:pPr>
        <w:spacing w:after="0" w:line="240" w:lineRule="auto"/>
        <w:jc w:val="both"/>
        <w:rPr>
          <w:b/>
          <w:color w:val="4F6228" w:themeColor="accent3" w:themeShade="80"/>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lastRenderedPageBreak/>
        <w:t xml:space="preserve">G8 - </w:t>
      </w:r>
      <w:r w:rsidRPr="00ED7F30">
        <w:rPr>
          <w:b/>
          <w:i/>
          <w:color w:val="4F6228" w:themeColor="accent3" w:themeShade="80"/>
          <w:sz w:val="28"/>
          <w:szCs w:val="28"/>
        </w:rPr>
        <w:t>Porcentaje de contratos de duración de 7 días o menos sobre el total</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4081393" cy="2451100"/>
            <wp:effectExtent l="0" t="0" r="0" b="635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83764" cy="2452524"/>
                    </a:xfrm>
                    <a:prstGeom prst="rect">
                      <a:avLst/>
                    </a:prstGeom>
                    <a:noFill/>
                    <a:ln>
                      <a:noFill/>
                    </a:ln>
                  </pic:spPr>
                </pic:pic>
              </a:graphicData>
            </a:graphic>
          </wp:inline>
        </w:drawing>
      </w:r>
    </w:p>
    <w:p w:rsidR="00DA0E82" w:rsidRPr="00ED7F30" w:rsidRDefault="00DA0E82" w:rsidP="00DA0E82">
      <w:pPr>
        <w:spacing w:after="0" w:line="240" w:lineRule="auto"/>
        <w:ind w:left="851" w:firstLine="283"/>
        <w:jc w:val="both"/>
        <w:rPr>
          <w:i/>
          <w:color w:val="4F6228" w:themeColor="accent3" w:themeShade="80"/>
          <w:sz w:val="18"/>
          <w:szCs w:val="18"/>
        </w:rPr>
      </w:pPr>
      <w:r w:rsidRPr="00ED7F30">
        <w:rPr>
          <w:i/>
          <w:color w:val="4F6228" w:themeColor="accent3" w:themeShade="80"/>
          <w:sz w:val="18"/>
          <w:szCs w:val="18"/>
        </w:rPr>
        <w:t>Fuente: SEPE. Ministerio de Empleo y Seguridad Social</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En 2017 se ha reducido muy ligeramente el </w:t>
      </w:r>
      <w:r w:rsidRPr="00ED7F30">
        <w:rPr>
          <w:b/>
          <w:color w:val="4F6228" w:themeColor="accent3" w:themeShade="80"/>
          <w:sz w:val="24"/>
          <w:szCs w:val="24"/>
        </w:rPr>
        <w:t>peso de los contratos a tiempo parcial sobre el total</w:t>
      </w:r>
      <w:r w:rsidRPr="00ED7F30">
        <w:rPr>
          <w:color w:val="4F6228" w:themeColor="accent3" w:themeShade="80"/>
          <w:sz w:val="24"/>
          <w:szCs w:val="24"/>
        </w:rPr>
        <w:t xml:space="preserve"> </w:t>
      </w:r>
      <w:r w:rsidRPr="001D3810">
        <w:rPr>
          <w:sz w:val="24"/>
          <w:szCs w:val="24"/>
        </w:rPr>
        <w:t xml:space="preserve">(cuatro décimas, del 36% al 35,6%. Pero sigue siendo una proporción muy elevada, teniendo en cuenta que hace diez años era el 24%. Igualmente, y por  quinto año consecutivo, se ha reducido el porcentaje de los </w:t>
      </w:r>
      <w:r w:rsidRPr="00ED7F30">
        <w:rPr>
          <w:b/>
          <w:color w:val="4F6228" w:themeColor="accent3" w:themeShade="80"/>
          <w:sz w:val="24"/>
          <w:szCs w:val="24"/>
        </w:rPr>
        <w:t>contratos a tiempo parcial de carácter indefinido sobre el total de indefinidos</w:t>
      </w:r>
      <w:r w:rsidRPr="001D3810">
        <w:rPr>
          <w:b/>
          <w:sz w:val="24"/>
          <w:szCs w:val="24"/>
        </w:rPr>
        <w:t xml:space="preserve"> </w:t>
      </w:r>
      <w:r w:rsidRPr="001D3810">
        <w:rPr>
          <w:sz w:val="24"/>
          <w:szCs w:val="24"/>
        </w:rPr>
        <w:t xml:space="preserve">(han pasado del 42,4% al 41,5%), pero está muy por encima del 27,5% que suponían en 2007. </w:t>
      </w: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G9 - </w:t>
      </w:r>
      <w:r w:rsidRPr="00ED7F30">
        <w:rPr>
          <w:b/>
          <w:i/>
          <w:color w:val="4F6228" w:themeColor="accent3" w:themeShade="80"/>
          <w:sz w:val="28"/>
          <w:szCs w:val="28"/>
        </w:rPr>
        <w:t>Porcentaje de contratos a tiempo parcial sobre el total y a tiempo parcial indefinidos sobre el total de indefinidos</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4484567" cy="297815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89922" cy="2981706"/>
                    </a:xfrm>
                    <a:prstGeom prst="rect">
                      <a:avLst/>
                    </a:prstGeom>
                    <a:noFill/>
                    <a:ln>
                      <a:noFill/>
                    </a:ln>
                  </pic:spPr>
                </pic:pic>
              </a:graphicData>
            </a:graphic>
          </wp:inline>
        </w:drawing>
      </w:r>
    </w:p>
    <w:p w:rsidR="00DA0E82" w:rsidRPr="00ED7F30" w:rsidRDefault="00DA0E82" w:rsidP="00DA0E82">
      <w:pPr>
        <w:spacing w:after="0" w:line="240" w:lineRule="auto"/>
        <w:ind w:left="567" w:firstLine="142"/>
        <w:jc w:val="both"/>
        <w:rPr>
          <w:i/>
          <w:color w:val="4F6228" w:themeColor="accent3" w:themeShade="80"/>
          <w:sz w:val="18"/>
          <w:szCs w:val="18"/>
        </w:rPr>
      </w:pPr>
      <w:r w:rsidRPr="00ED7F30">
        <w:rPr>
          <w:i/>
          <w:color w:val="4F6228" w:themeColor="accent3" w:themeShade="80"/>
          <w:sz w:val="18"/>
          <w:szCs w:val="18"/>
        </w:rPr>
        <w:t>Fuente: SEPE. Ministerio de Empleo y Seguridad Social</w:t>
      </w:r>
    </w:p>
    <w:p w:rsidR="00DA0E82" w:rsidRPr="001D3810" w:rsidRDefault="00DA0E82" w:rsidP="00DA0E82">
      <w:pPr>
        <w:spacing w:after="0" w:line="240" w:lineRule="auto"/>
        <w:jc w:val="both"/>
        <w:rPr>
          <w:sz w:val="24"/>
          <w:szCs w:val="24"/>
        </w:rPr>
      </w:pPr>
    </w:p>
    <w:p w:rsidR="001F12C4" w:rsidRPr="001D3810" w:rsidRDefault="001F12C4" w:rsidP="00DA0E82">
      <w:pPr>
        <w:spacing w:after="0" w:line="240" w:lineRule="auto"/>
        <w:jc w:val="both"/>
        <w:rPr>
          <w:sz w:val="24"/>
          <w:szCs w:val="24"/>
        </w:rPr>
      </w:pPr>
    </w:p>
    <w:p w:rsidR="00DA0E82" w:rsidRPr="00ED7F30" w:rsidRDefault="00DA0E82" w:rsidP="00DA0E82">
      <w:pPr>
        <w:spacing w:after="0" w:line="240" w:lineRule="auto"/>
        <w:jc w:val="both"/>
        <w:rPr>
          <w:color w:val="4F6228" w:themeColor="accent3" w:themeShade="80"/>
          <w:szCs w:val="24"/>
        </w:rPr>
      </w:pPr>
      <w:r w:rsidRPr="001D3810">
        <w:rPr>
          <w:szCs w:val="24"/>
        </w:rPr>
        <w:t xml:space="preserve">En conjunto, en 2017 </w:t>
      </w:r>
      <w:r w:rsidRPr="00ED7F30">
        <w:rPr>
          <w:b/>
          <w:color w:val="4F6228" w:themeColor="accent3" w:themeShade="80"/>
          <w:szCs w:val="24"/>
        </w:rPr>
        <w:t>solo el 5% de los contratos concertados en 2017 fue indefinido a tiempo completo</w:t>
      </w:r>
      <w:r w:rsidRPr="00ED7F30">
        <w:rPr>
          <w:color w:val="4F6228" w:themeColor="accent3" w:themeShade="80"/>
          <w:szCs w:val="24"/>
        </w:rPr>
        <w:t xml:space="preserve">. </w:t>
      </w:r>
    </w:p>
    <w:p w:rsidR="00DA0E82" w:rsidRPr="001D3810" w:rsidRDefault="00DA0E82" w:rsidP="00DA0E82">
      <w:pPr>
        <w:spacing w:after="0" w:line="240" w:lineRule="auto"/>
        <w:jc w:val="both"/>
        <w:rPr>
          <w:sz w:val="24"/>
          <w:szCs w:val="24"/>
        </w:rPr>
      </w:pPr>
    </w:p>
    <w:p w:rsidR="00C90B31" w:rsidRPr="001D3810" w:rsidRDefault="00C90B31" w:rsidP="00DA0E82">
      <w:pPr>
        <w:spacing w:after="0" w:line="240" w:lineRule="auto"/>
        <w:jc w:val="both"/>
        <w:rPr>
          <w:sz w:val="24"/>
          <w:szCs w:val="24"/>
        </w:rPr>
      </w:pPr>
    </w:p>
    <w:p w:rsidR="00DA0E82" w:rsidRPr="00ED7F30" w:rsidRDefault="00DA0E82" w:rsidP="00DA0E82">
      <w:pPr>
        <w:spacing w:after="0" w:line="240" w:lineRule="auto"/>
        <w:jc w:val="center"/>
        <w:rPr>
          <w:color w:val="4F6228" w:themeColor="accent3" w:themeShade="80"/>
          <w:szCs w:val="24"/>
        </w:rPr>
      </w:pPr>
      <w:r w:rsidRPr="00ED7F30">
        <w:rPr>
          <w:b/>
          <w:i/>
          <w:color w:val="4F6228" w:themeColor="accent3" w:themeShade="80"/>
          <w:sz w:val="20"/>
          <w:szCs w:val="28"/>
        </w:rPr>
        <w:t>G</w:t>
      </w:r>
      <w:r w:rsidR="000B6DA5" w:rsidRPr="00ED7F30">
        <w:rPr>
          <w:b/>
          <w:i/>
          <w:color w:val="4F6228" w:themeColor="accent3" w:themeShade="80"/>
          <w:sz w:val="20"/>
          <w:szCs w:val="28"/>
        </w:rPr>
        <w:t>10</w:t>
      </w:r>
      <w:r w:rsidRPr="00ED7F30">
        <w:rPr>
          <w:b/>
          <w:i/>
          <w:color w:val="4F6228" w:themeColor="accent3" w:themeShade="80"/>
          <w:sz w:val="20"/>
          <w:szCs w:val="28"/>
        </w:rPr>
        <w:t xml:space="preserve"> – </w:t>
      </w:r>
      <w:r w:rsidRPr="00ED7F30">
        <w:rPr>
          <w:b/>
          <w:i/>
          <w:color w:val="4F6228" w:themeColor="accent3" w:themeShade="80"/>
          <w:sz w:val="28"/>
          <w:szCs w:val="28"/>
        </w:rPr>
        <w:t>Estructura de la contratación por tipo y jornada</w:t>
      </w:r>
      <w:r w:rsidR="00ED7F30">
        <w:rPr>
          <w:b/>
          <w:i/>
          <w:color w:val="4F6228" w:themeColor="accent3" w:themeShade="80"/>
          <w:sz w:val="28"/>
          <w:szCs w:val="28"/>
        </w:rPr>
        <w:t xml:space="preserve"> </w:t>
      </w:r>
      <w:r w:rsidRPr="00ED7F30">
        <w:rPr>
          <w:b/>
          <w:i/>
          <w:color w:val="4F6228" w:themeColor="accent3" w:themeShade="80"/>
          <w:sz w:val="24"/>
          <w:szCs w:val="28"/>
        </w:rPr>
        <w:t>2017</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3511550" cy="2204397"/>
            <wp:effectExtent l="0" t="0" r="0" b="571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11550" cy="2204397"/>
                    </a:xfrm>
                    <a:prstGeom prst="rect">
                      <a:avLst/>
                    </a:prstGeom>
                    <a:noFill/>
                    <a:ln>
                      <a:noFill/>
                    </a:ln>
                  </pic:spPr>
                </pic:pic>
              </a:graphicData>
            </a:graphic>
          </wp:inline>
        </w:drawing>
      </w:r>
    </w:p>
    <w:p w:rsidR="00DA0E82" w:rsidRPr="00ED7F30" w:rsidRDefault="00DA0E82" w:rsidP="00DA0E82">
      <w:pPr>
        <w:spacing w:after="0" w:line="240" w:lineRule="auto"/>
        <w:ind w:left="567" w:firstLine="993"/>
        <w:jc w:val="both"/>
        <w:rPr>
          <w:i/>
          <w:color w:val="4F6228" w:themeColor="accent3" w:themeShade="80"/>
          <w:sz w:val="18"/>
          <w:szCs w:val="18"/>
        </w:rPr>
      </w:pPr>
      <w:r w:rsidRPr="00ED7F30">
        <w:rPr>
          <w:i/>
          <w:color w:val="4F6228" w:themeColor="accent3" w:themeShade="80"/>
          <w:sz w:val="18"/>
          <w:szCs w:val="18"/>
        </w:rPr>
        <w:t>Fuente: SEPE. Ministerio de Empleo y Seguridad Social</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La excesiva temporalidad, la elevada rotación laboral y la parcialidad involuntaria son las caras más visibles del aumento de la precariedad del empleo en nuestro país. Pero no son las únicas. La precariedad laboral tiene cada vez más rostros, y se hace más difusa, configurando un mercado de trabajo crecientemente ineficiente, inseguro y desigual. </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ED7F30">
        <w:rPr>
          <w:b/>
          <w:color w:val="4F6228" w:themeColor="accent3" w:themeShade="80"/>
          <w:sz w:val="24"/>
          <w:szCs w:val="24"/>
        </w:rPr>
        <w:t>También el empleo indefinido es cada vez más precario</w:t>
      </w:r>
      <w:r w:rsidRPr="001D3810">
        <w:rPr>
          <w:sz w:val="24"/>
          <w:szCs w:val="24"/>
        </w:rPr>
        <w:t>. Hace mucho que tener un contrato indefinido no es garantía en absoluto ni de estabilidad laboral ni de salarios suficientes</w:t>
      </w:r>
      <w:r w:rsidRPr="001D3810">
        <w:rPr>
          <w:sz w:val="24"/>
          <w:szCs w:val="24"/>
          <w:vertAlign w:val="superscript"/>
        </w:rPr>
        <w:footnoteReference w:id="4"/>
      </w:r>
      <w:r w:rsidRPr="001D3810">
        <w:rPr>
          <w:sz w:val="24"/>
          <w:szCs w:val="24"/>
        </w:rPr>
        <w:t xml:space="preserve">; una situación que se ha incrementado con la introducción de modalidades contractuales que, aún siendo catalogadas como de carácter indefinido, incorporan características propias de los contratos temporales y precarios. Es el caso del llamado </w:t>
      </w:r>
      <w:r w:rsidRPr="001D3810">
        <w:rPr>
          <w:i/>
          <w:sz w:val="24"/>
          <w:szCs w:val="24"/>
        </w:rPr>
        <w:t>contrato de apoyo a emprendedores</w:t>
      </w:r>
      <w:r w:rsidRPr="001D3810">
        <w:rPr>
          <w:sz w:val="24"/>
          <w:szCs w:val="24"/>
        </w:rPr>
        <w:t xml:space="preserve">, que al incorporar un año de período de prueba con coste de rescisión nulo, resulta en la práctica un contrato temporal de un año, más barato y precario que cualquiera de los temporales legalmente establecidos. </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El uso de este contrato ha pasado de representar el 5,4% del total de la contratación indefinida un año después de su creación (en 2012) al 12,8% en 2017. </w:t>
      </w:r>
    </w:p>
    <w:p w:rsidR="00DA0E82" w:rsidRPr="001D3810" w:rsidRDefault="00DA0E82" w:rsidP="00DA0E82">
      <w:pPr>
        <w:spacing w:after="0" w:line="240" w:lineRule="auto"/>
        <w:jc w:val="both"/>
        <w:rPr>
          <w:sz w:val="24"/>
          <w:szCs w:val="24"/>
        </w:rPr>
      </w:pPr>
    </w:p>
    <w:p w:rsidR="00DA0E82" w:rsidRPr="00ED7F30" w:rsidRDefault="00DA0E82" w:rsidP="00DA0E82">
      <w:pPr>
        <w:spacing w:after="0" w:line="240" w:lineRule="auto"/>
        <w:jc w:val="center"/>
        <w:rPr>
          <w:b/>
          <w:i/>
          <w:color w:val="4F6228" w:themeColor="accent3" w:themeShade="80"/>
          <w:sz w:val="28"/>
          <w:szCs w:val="28"/>
        </w:rPr>
      </w:pPr>
      <w:r w:rsidRPr="00ED7F30">
        <w:rPr>
          <w:b/>
          <w:i/>
          <w:color w:val="4F6228" w:themeColor="accent3" w:themeShade="80"/>
          <w:sz w:val="20"/>
          <w:szCs w:val="28"/>
        </w:rPr>
        <w:t xml:space="preserve">C3 – </w:t>
      </w:r>
      <w:r w:rsidRPr="00ED7F30">
        <w:rPr>
          <w:b/>
          <w:i/>
          <w:color w:val="4F6228" w:themeColor="accent3" w:themeShade="80"/>
          <w:sz w:val="28"/>
          <w:szCs w:val="28"/>
        </w:rPr>
        <w:t>Contratos de apoyo a emprendedores</w:t>
      </w:r>
    </w:p>
    <w:p w:rsidR="00DA0E82" w:rsidRPr="001D3810" w:rsidRDefault="00DA0E82" w:rsidP="00DA0E82">
      <w:pPr>
        <w:spacing w:after="0" w:line="240" w:lineRule="auto"/>
        <w:jc w:val="center"/>
        <w:rPr>
          <w:sz w:val="24"/>
          <w:szCs w:val="24"/>
        </w:rPr>
      </w:pPr>
      <w:r w:rsidRPr="001D3810">
        <w:rPr>
          <w:noProof/>
          <w:lang w:eastAsia="es-ES"/>
        </w:rPr>
        <w:drawing>
          <wp:inline distT="0" distB="0" distL="0" distR="0">
            <wp:extent cx="2959100" cy="1651000"/>
            <wp:effectExtent l="0" t="0" r="0" b="635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59100" cy="1651000"/>
                    </a:xfrm>
                    <a:prstGeom prst="rect">
                      <a:avLst/>
                    </a:prstGeom>
                    <a:noFill/>
                    <a:ln>
                      <a:noFill/>
                    </a:ln>
                  </pic:spPr>
                </pic:pic>
              </a:graphicData>
            </a:graphic>
          </wp:inline>
        </w:drawing>
      </w:r>
    </w:p>
    <w:p w:rsidR="00DA0E82" w:rsidRPr="001D3810" w:rsidRDefault="00DA0E82" w:rsidP="00DA0E82">
      <w:pPr>
        <w:spacing w:after="0" w:line="240" w:lineRule="auto"/>
        <w:ind w:left="567" w:firstLine="1418"/>
        <w:jc w:val="both"/>
        <w:rPr>
          <w:i/>
          <w:sz w:val="18"/>
          <w:szCs w:val="18"/>
        </w:rPr>
      </w:pPr>
      <w:r w:rsidRPr="001D3810">
        <w:rPr>
          <w:i/>
          <w:sz w:val="18"/>
          <w:szCs w:val="18"/>
        </w:rPr>
        <w:t>Fuente: SEPE. Ministerio de Empleo y Seguridad Social</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En conjunto, las cifras anteriores reflejan la </w:t>
      </w:r>
      <w:r w:rsidRPr="0029468C">
        <w:rPr>
          <w:b/>
          <w:color w:val="4F6228" w:themeColor="accent3" w:themeShade="80"/>
          <w:sz w:val="24"/>
          <w:szCs w:val="24"/>
        </w:rPr>
        <w:t>creciente inseguridad que afecta también a la contratación de carácter indefinido</w:t>
      </w:r>
      <w:r w:rsidRPr="0029468C">
        <w:rPr>
          <w:color w:val="4F6228" w:themeColor="accent3" w:themeShade="80"/>
          <w:sz w:val="24"/>
          <w:szCs w:val="24"/>
        </w:rPr>
        <w:t xml:space="preserve">. </w:t>
      </w:r>
      <w:r w:rsidRPr="001D3810">
        <w:rPr>
          <w:sz w:val="24"/>
          <w:szCs w:val="24"/>
        </w:rPr>
        <w:t xml:space="preserve">En España, en contra del tradicional discurso de gobiernos y organizaciones defensoras de la desregulación permanente, </w:t>
      </w:r>
      <w:r w:rsidRPr="0029468C">
        <w:rPr>
          <w:b/>
          <w:color w:val="4F6228" w:themeColor="accent3" w:themeShade="80"/>
          <w:sz w:val="24"/>
          <w:szCs w:val="24"/>
        </w:rPr>
        <w:t xml:space="preserve">rescindir los contratos indefinidos es muy fácil; demasiado. En los últimos diez años </w:t>
      </w:r>
      <w:r w:rsidRPr="001D3810">
        <w:rPr>
          <w:sz w:val="24"/>
          <w:szCs w:val="24"/>
        </w:rPr>
        <w:t>(con datos de 2017 hasta noviembre)</w:t>
      </w:r>
      <w:r w:rsidRPr="001D3810">
        <w:rPr>
          <w:b/>
          <w:sz w:val="24"/>
          <w:szCs w:val="24"/>
        </w:rPr>
        <w:t xml:space="preserve"> </w:t>
      </w:r>
      <w:r w:rsidRPr="0029468C">
        <w:rPr>
          <w:b/>
          <w:color w:val="4F6228" w:themeColor="accent3" w:themeShade="80"/>
          <w:sz w:val="24"/>
          <w:szCs w:val="24"/>
        </w:rPr>
        <w:t>se han realizado en España 6,2 millones de despidos de contratos indefinidos (unos 625.000 de media al año).</w:t>
      </w:r>
      <w:r w:rsidRPr="001D3810">
        <w:rPr>
          <w:sz w:val="24"/>
          <w:szCs w:val="24"/>
        </w:rPr>
        <w:t xml:space="preserve"> Eso supone una cifra cercana a la mitad de contratos indefinidos que se han firmado al año, 1,4 millones de media (exactamente el 43,8%).</w:t>
      </w:r>
    </w:p>
    <w:p w:rsidR="00DA0E82" w:rsidRPr="001D3810" w:rsidRDefault="00DA0E82" w:rsidP="00DA0E82">
      <w:pPr>
        <w:spacing w:after="0" w:line="240" w:lineRule="auto"/>
        <w:jc w:val="both"/>
        <w:rPr>
          <w:sz w:val="24"/>
          <w:szCs w:val="24"/>
        </w:rPr>
      </w:pPr>
    </w:p>
    <w:p w:rsidR="00DA0E82" w:rsidRPr="001D3810" w:rsidRDefault="00DA0E82" w:rsidP="00DA0E82">
      <w:pPr>
        <w:spacing w:after="0" w:line="240" w:lineRule="auto"/>
        <w:jc w:val="both"/>
        <w:rPr>
          <w:sz w:val="24"/>
          <w:szCs w:val="24"/>
        </w:rPr>
      </w:pPr>
      <w:r w:rsidRPr="001D3810">
        <w:rPr>
          <w:sz w:val="24"/>
          <w:szCs w:val="24"/>
        </w:rPr>
        <w:t xml:space="preserve">Ello se refleja también en un </w:t>
      </w:r>
      <w:r w:rsidRPr="0029468C">
        <w:rPr>
          <w:b/>
          <w:color w:val="4F6228" w:themeColor="accent3" w:themeShade="80"/>
          <w:sz w:val="24"/>
          <w:szCs w:val="24"/>
        </w:rPr>
        <w:t>aumento de la rotación de estos contratos supuestamente estables.</w:t>
      </w:r>
      <w:r w:rsidRPr="001D3810">
        <w:rPr>
          <w:b/>
          <w:sz w:val="24"/>
          <w:szCs w:val="24"/>
        </w:rPr>
        <w:t xml:space="preserve"> </w:t>
      </w:r>
      <w:r w:rsidRPr="001D3810">
        <w:rPr>
          <w:sz w:val="24"/>
          <w:szCs w:val="24"/>
        </w:rPr>
        <w:t xml:space="preserve">En 2009, para crear un empleo estable se necesitaban 1,1 contratos de carácter indefinido; en 2017 se necesitan 1,5. </w:t>
      </w:r>
    </w:p>
    <w:p w:rsidR="00DA0E82" w:rsidRPr="001D3810" w:rsidRDefault="00DA0E82" w:rsidP="00DA0E82">
      <w:pPr>
        <w:spacing w:after="0" w:line="240" w:lineRule="auto"/>
        <w:jc w:val="both"/>
        <w:rPr>
          <w:sz w:val="24"/>
          <w:szCs w:val="24"/>
          <w:highlight w:val="yellow"/>
        </w:rPr>
      </w:pPr>
    </w:p>
    <w:p w:rsidR="00C90B31" w:rsidRPr="001D3810" w:rsidRDefault="00C90B31" w:rsidP="00DA0E82">
      <w:pPr>
        <w:spacing w:after="0" w:line="240" w:lineRule="auto"/>
        <w:jc w:val="both"/>
        <w:rPr>
          <w:sz w:val="24"/>
          <w:szCs w:val="24"/>
          <w:highlight w:val="yellow"/>
        </w:rPr>
      </w:pPr>
    </w:p>
    <w:p w:rsidR="00DA0E82" w:rsidRPr="0029468C" w:rsidRDefault="00DA0E82" w:rsidP="00DA0E82">
      <w:pPr>
        <w:spacing w:after="0" w:line="240" w:lineRule="auto"/>
        <w:jc w:val="center"/>
        <w:rPr>
          <w:b/>
          <w:i/>
          <w:color w:val="4F6228" w:themeColor="accent3" w:themeShade="80"/>
          <w:sz w:val="28"/>
          <w:szCs w:val="28"/>
        </w:rPr>
      </w:pPr>
      <w:r w:rsidRPr="0029468C">
        <w:rPr>
          <w:b/>
          <w:i/>
          <w:color w:val="4F6228" w:themeColor="accent3" w:themeShade="80"/>
          <w:sz w:val="20"/>
          <w:szCs w:val="28"/>
        </w:rPr>
        <w:t>G</w:t>
      </w:r>
      <w:r w:rsidR="000B6DA5" w:rsidRPr="0029468C">
        <w:rPr>
          <w:b/>
          <w:i/>
          <w:color w:val="4F6228" w:themeColor="accent3" w:themeShade="80"/>
          <w:sz w:val="20"/>
          <w:szCs w:val="28"/>
        </w:rPr>
        <w:t>11</w:t>
      </w:r>
      <w:r w:rsidRPr="0029468C">
        <w:rPr>
          <w:b/>
          <w:i/>
          <w:color w:val="4F6228" w:themeColor="accent3" w:themeShade="80"/>
          <w:sz w:val="20"/>
          <w:szCs w:val="28"/>
        </w:rPr>
        <w:t xml:space="preserve"> – </w:t>
      </w:r>
      <w:r w:rsidRPr="0029468C">
        <w:rPr>
          <w:b/>
          <w:i/>
          <w:color w:val="4F6228" w:themeColor="accent3" w:themeShade="80"/>
          <w:sz w:val="28"/>
          <w:szCs w:val="28"/>
        </w:rPr>
        <w:t xml:space="preserve">Rotación del empleo indefinido </w:t>
      </w:r>
    </w:p>
    <w:p w:rsidR="00DA0E82" w:rsidRPr="0029468C" w:rsidRDefault="00DA0E82" w:rsidP="00DA0E82">
      <w:pPr>
        <w:spacing w:after="0" w:line="240" w:lineRule="auto"/>
        <w:jc w:val="center"/>
        <w:rPr>
          <w:b/>
          <w:i/>
          <w:color w:val="4F6228" w:themeColor="accent3" w:themeShade="80"/>
          <w:szCs w:val="28"/>
        </w:rPr>
      </w:pPr>
      <w:r w:rsidRPr="0029468C">
        <w:rPr>
          <w:b/>
          <w:i/>
          <w:color w:val="4F6228" w:themeColor="accent3" w:themeShade="80"/>
          <w:szCs w:val="28"/>
        </w:rPr>
        <w:t>Número de contratos indefinidos firmados por cada nuevo empleo indefinido</w:t>
      </w:r>
    </w:p>
    <w:p w:rsidR="00DA0E82" w:rsidRPr="001D3810" w:rsidRDefault="00DA0E82" w:rsidP="00DA0E82">
      <w:pPr>
        <w:spacing w:after="0" w:line="240" w:lineRule="auto"/>
        <w:jc w:val="center"/>
        <w:rPr>
          <w:sz w:val="24"/>
          <w:szCs w:val="24"/>
          <w:highlight w:val="yellow"/>
        </w:rPr>
      </w:pPr>
      <w:r w:rsidRPr="001D3810">
        <w:rPr>
          <w:noProof/>
          <w:lang w:eastAsia="es-ES"/>
        </w:rPr>
        <w:drawing>
          <wp:inline distT="0" distB="0" distL="0" distR="0">
            <wp:extent cx="3835400" cy="2303368"/>
            <wp:effectExtent l="0" t="0" r="0" b="1905"/>
            <wp:docPr id="256" name="Imagen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37949" cy="2304899"/>
                    </a:xfrm>
                    <a:prstGeom prst="rect">
                      <a:avLst/>
                    </a:prstGeom>
                    <a:noFill/>
                    <a:ln>
                      <a:noFill/>
                    </a:ln>
                  </pic:spPr>
                </pic:pic>
              </a:graphicData>
            </a:graphic>
          </wp:inline>
        </w:drawing>
      </w:r>
    </w:p>
    <w:p w:rsidR="00DA0E82" w:rsidRPr="0029468C" w:rsidRDefault="00DA0E82" w:rsidP="00DA0E82">
      <w:pPr>
        <w:spacing w:after="0" w:line="240" w:lineRule="auto"/>
        <w:ind w:left="567" w:firstLine="709"/>
        <w:jc w:val="both"/>
        <w:rPr>
          <w:i/>
          <w:color w:val="4F6228" w:themeColor="accent3" w:themeShade="80"/>
          <w:sz w:val="18"/>
          <w:szCs w:val="18"/>
        </w:rPr>
      </w:pPr>
      <w:r w:rsidRPr="0029468C">
        <w:rPr>
          <w:i/>
          <w:color w:val="4F6228" w:themeColor="accent3" w:themeShade="80"/>
          <w:sz w:val="18"/>
          <w:szCs w:val="18"/>
        </w:rPr>
        <w:t>Fuente: SEPE (MEYSS) y EPA (INE)</w:t>
      </w:r>
    </w:p>
    <w:p w:rsidR="00DA0E82" w:rsidRPr="001D3810" w:rsidRDefault="00DA0E82" w:rsidP="00DA0E82">
      <w:pPr>
        <w:spacing w:after="0" w:line="240" w:lineRule="auto"/>
        <w:jc w:val="both"/>
        <w:rPr>
          <w:b/>
          <w:sz w:val="24"/>
          <w:szCs w:val="24"/>
          <w:highlight w:val="green"/>
        </w:rPr>
      </w:pPr>
    </w:p>
    <w:p w:rsidR="00C90B31" w:rsidRPr="001D3810" w:rsidRDefault="00C90B31" w:rsidP="00DA0E82">
      <w:pPr>
        <w:spacing w:after="0" w:line="240" w:lineRule="auto"/>
        <w:jc w:val="both"/>
        <w:rPr>
          <w:b/>
          <w:sz w:val="24"/>
          <w:szCs w:val="24"/>
          <w:highlight w:val="green"/>
        </w:rPr>
      </w:pPr>
    </w:p>
    <w:p w:rsidR="00DA0E82" w:rsidRPr="001D3810" w:rsidRDefault="00DA0E82" w:rsidP="00DA0E82">
      <w:pPr>
        <w:spacing w:after="0" w:line="240" w:lineRule="auto"/>
        <w:jc w:val="both"/>
        <w:rPr>
          <w:rFonts w:ascii="Calibri" w:eastAsia="Calibri" w:hAnsi="Calibri" w:cs="Times New Roman"/>
          <w:sz w:val="24"/>
          <w:szCs w:val="24"/>
        </w:rPr>
      </w:pPr>
      <w:r w:rsidRPr="001D3810">
        <w:rPr>
          <w:rFonts w:ascii="Calibri" w:eastAsia="Calibri" w:hAnsi="Calibri" w:cs="Times New Roman"/>
          <w:sz w:val="24"/>
          <w:szCs w:val="24"/>
        </w:rPr>
        <w:t xml:space="preserve">A todo ello hay que sumar el negativo impacto de </w:t>
      </w:r>
      <w:r w:rsidRPr="0029468C">
        <w:rPr>
          <w:rFonts w:ascii="Calibri" w:eastAsia="Calibri" w:hAnsi="Calibri" w:cs="Times New Roman"/>
          <w:b/>
          <w:color w:val="4F6228" w:themeColor="accent3" w:themeShade="80"/>
          <w:sz w:val="24"/>
          <w:szCs w:val="24"/>
        </w:rPr>
        <w:t>nuevas formas laborales que están generando condiciones de trabajo incluso peores</w:t>
      </w:r>
      <w:r w:rsidRPr="0029468C">
        <w:rPr>
          <w:rFonts w:ascii="Calibri" w:eastAsia="Calibri" w:hAnsi="Calibri" w:cs="Times New Roman"/>
          <w:color w:val="4F6228" w:themeColor="accent3" w:themeShade="80"/>
          <w:sz w:val="24"/>
          <w:szCs w:val="24"/>
        </w:rPr>
        <w:t>,</w:t>
      </w:r>
      <w:r w:rsidRPr="001D3810">
        <w:rPr>
          <w:rFonts w:ascii="Calibri" w:eastAsia="Calibri" w:hAnsi="Calibri" w:cs="Times New Roman"/>
          <w:sz w:val="24"/>
          <w:szCs w:val="24"/>
        </w:rPr>
        <w:t xml:space="preserve"> en la medida que burlan las garantías mínimas que establecen los convenios colectivos. </w:t>
      </w:r>
    </w:p>
    <w:p w:rsidR="00DA0E82" w:rsidRPr="001D3810" w:rsidRDefault="00DA0E82" w:rsidP="00DA0E82">
      <w:pPr>
        <w:spacing w:after="0" w:line="240" w:lineRule="auto"/>
        <w:jc w:val="both"/>
        <w:rPr>
          <w:rFonts w:ascii="Calibri" w:eastAsia="Calibri" w:hAnsi="Calibri" w:cs="Times New Roman"/>
          <w:sz w:val="24"/>
          <w:szCs w:val="24"/>
        </w:rPr>
      </w:pPr>
    </w:p>
    <w:p w:rsidR="00DA0E82" w:rsidRPr="001D3810" w:rsidRDefault="00DA0E82" w:rsidP="00DA0E82">
      <w:pPr>
        <w:spacing w:after="0" w:line="240" w:lineRule="auto"/>
        <w:jc w:val="both"/>
        <w:rPr>
          <w:rFonts w:ascii="Calibri" w:eastAsia="Calibri" w:hAnsi="Calibri" w:cs="Times New Roman"/>
          <w:sz w:val="24"/>
          <w:szCs w:val="24"/>
        </w:rPr>
      </w:pPr>
      <w:r w:rsidRPr="001D3810">
        <w:rPr>
          <w:rFonts w:ascii="Calibri" w:eastAsia="Calibri" w:hAnsi="Calibri" w:cs="Times New Roman"/>
          <w:sz w:val="24"/>
          <w:szCs w:val="24"/>
        </w:rPr>
        <w:t xml:space="preserve">Así sucede con la actividad de las </w:t>
      </w:r>
      <w:r w:rsidRPr="0029468C">
        <w:rPr>
          <w:rFonts w:ascii="Calibri" w:eastAsia="Calibri" w:hAnsi="Calibri" w:cs="Times New Roman"/>
          <w:b/>
          <w:color w:val="4F6228" w:themeColor="accent3" w:themeShade="80"/>
          <w:sz w:val="24"/>
          <w:szCs w:val="24"/>
        </w:rPr>
        <w:t xml:space="preserve">empresas de </w:t>
      </w:r>
      <w:r w:rsidRPr="0029468C">
        <w:rPr>
          <w:rFonts w:ascii="Calibri" w:eastAsia="Calibri" w:hAnsi="Calibri" w:cs="Times New Roman"/>
          <w:b/>
          <w:i/>
          <w:color w:val="4F6228" w:themeColor="accent3" w:themeShade="80"/>
          <w:sz w:val="24"/>
          <w:szCs w:val="24"/>
        </w:rPr>
        <w:t>multiservicios</w:t>
      </w:r>
      <w:r w:rsidRPr="001D3810">
        <w:rPr>
          <w:rFonts w:ascii="Calibri" w:eastAsia="Calibri" w:hAnsi="Calibri" w:cs="Times New Roman"/>
          <w:sz w:val="24"/>
          <w:szCs w:val="24"/>
        </w:rPr>
        <w:t xml:space="preserve">, que están </w:t>
      </w:r>
      <w:r w:rsidRPr="001D3810">
        <w:rPr>
          <w:rFonts w:ascii="Calibri" w:eastAsia="Calibri" w:hAnsi="Calibri" w:cs="Times New Roman"/>
          <w:i/>
          <w:sz w:val="24"/>
          <w:szCs w:val="24"/>
        </w:rPr>
        <w:t>tirando a la baja</w:t>
      </w:r>
      <w:r w:rsidRPr="001D3810">
        <w:rPr>
          <w:rFonts w:ascii="Calibri" w:eastAsia="Calibri" w:hAnsi="Calibri" w:cs="Times New Roman"/>
          <w:sz w:val="24"/>
          <w:szCs w:val="24"/>
        </w:rPr>
        <w:t xml:space="preserve"> las condiciones laborales de miles de trabajadoras y trabajadores, y que </w:t>
      </w:r>
      <w:r w:rsidRPr="0029468C">
        <w:rPr>
          <w:rFonts w:ascii="Calibri" w:eastAsia="Calibri" w:hAnsi="Calibri" w:cs="Times New Roman"/>
          <w:b/>
          <w:color w:val="4F6228" w:themeColor="accent3" w:themeShade="80"/>
          <w:sz w:val="24"/>
          <w:szCs w:val="24"/>
        </w:rPr>
        <w:t>son ya una de las peores vías de precarización laboral</w:t>
      </w:r>
      <w:r w:rsidRPr="0029468C">
        <w:rPr>
          <w:rFonts w:ascii="Calibri" w:eastAsia="Calibri" w:hAnsi="Calibri" w:cs="Times New Roman"/>
          <w:color w:val="4F6228" w:themeColor="accent3" w:themeShade="80"/>
          <w:sz w:val="24"/>
          <w:szCs w:val="24"/>
        </w:rPr>
        <w:t xml:space="preserve">. </w:t>
      </w:r>
      <w:r w:rsidRPr="001D3810">
        <w:rPr>
          <w:rFonts w:ascii="Calibri" w:eastAsia="Calibri" w:hAnsi="Calibri" w:cs="Times New Roman"/>
          <w:sz w:val="24"/>
          <w:szCs w:val="24"/>
        </w:rPr>
        <w:t xml:space="preserve">Son empresas creadas exclusivamente para abaratar los costes laborales a costa de los derechos de la clase trabajadora. Según los datos del Registro de Convenios (REGCON), se puede estimar en </w:t>
      </w:r>
      <w:r w:rsidRPr="0029468C">
        <w:rPr>
          <w:rFonts w:ascii="Calibri" w:eastAsia="Calibri" w:hAnsi="Calibri" w:cs="Times New Roman"/>
          <w:b/>
          <w:color w:val="4F6228" w:themeColor="accent3" w:themeShade="80"/>
          <w:sz w:val="24"/>
          <w:szCs w:val="24"/>
        </w:rPr>
        <w:t>más de 60.000 el número de trabajadores afectados por empresas multiservicios</w:t>
      </w:r>
      <w:r w:rsidRPr="0029468C">
        <w:rPr>
          <w:rFonts w:ascii="Calibri" w:eastAsia="Calibri" w:hAnsi="Calibri" w:cs="Times New Roman"/>
          <w:color w:val="4F6228" w:themeColor="accent3" w:themeShade="80"/>
          <w:sz w:val="24"/>
          <w:szCs w:val="24"/>
        </w:rPr>
        <w:t>,</w:t>
      </w:r>
      <w:r w:rsidRPr="001D3810">
        <w:rPr>
          <w:rFonts w:ascii="Calibri" w:eastAsia="Calibri" w:hAnsi="Calibri" w:cs="Times New Roman"/>
          <w:sz w:val="24"/>
          <w:szCs w:val="24"/>
        </w:rPr>
        <w:t xml:space="preserve"> cuyas condiciones laborales se regulan en 256 convenios. No obstante, esta cifra está con toda seguridad muy por debajo de la real, ya que el número de trabajadores y trabajadoras que emplean suele crecer de manera muy notable conforme estas empresas las distintas actividades a las que se dedican.</w:t>
      </w:r>
    </w:p>
    <w:p w:rsidR="00DA0E82" w:rsidRPr="001D3810" w:rsidRDefault="00DA0E82" w:rsidP="00DA0E82">
      <w:pPr>
        <w:spacing w:after="0" w:line="240" w:lineRule="auto"/>
        <w:jc w:val="both"/>
        <w:rPr>
          <w:rFonts w:ascii="Calibri" w:eastAsia="Calibri" w:hAnsi="Calibri" w:cs="Times New Roman"/>
          <w:sz w:val="24"/>
          <w:szCs w:val="24"/>
        </w:rPr>
      </w:pPr>
    </w:p>
    <w:p w:rsidR="00DA0E82" w:rsidRPr="001D3810" w:rsidRDefault="00DA0E82" w:rsidP="00DA0E82">
      <w:pPr>
        <w:spacing w:after="0" w:line="240" w:lineRule="auto"/>
        <w:jc w:val="both"/>
        <w:rPr>
          <w:sz w:val="24"/>
          <w:szCs w:val="24"/>
        </w:rPr>
      </w:pPr>
      <w:r w:rsidRPr="001D3810">
        <w:rPr>
          <w:sz w:val="24"/>
          <w:szCs w:val="24"/>
        </w:rPr>
        <w:lastRenderedPageBreak/>
        <w:t xml:space="preserve">Y también merece especial atención en este sentido </w:t>
      </w:r>
      <w:r w:rsidRPr="0029468C">
        <w:rPr>
          <w:b/>
          <w:color w:val="4F6228" w:themeColor="accent3" w:themeShade="80"/>
          <w:sz w:val="24"/>
          <w:szCs w:val="24"/>
        </w:rPr>
        <w:t xml:space="preserve">el impacto de los nuevos modelos de negocio basados en la llamada </w:t>
      </w:r>
      <w:r w:rsidRPr="0029468C">
        <w:rPr>
          <w:b/>
          <w:i/>
          <w:color w:val="4F6228" w:themeColor="accent3" w:themeShade="80"/>
          <w:sz w:val="24"/>
          <w:szCs w:val="24"/>
        </w:rPr>
        <w:t>“economía de plataformas”</w:t>
      </w:r>
      <w:r w:rsidRPr="001D3810">
        <w:rPr>
          <w:sz w:val="24"/>
          <w:szCs w:val="24"/>
        </w:rPr>
        <w:t xml:space="preserve"> y las nuevas formas de organización empresarial que surgen al abrigo de la economía digital, que están contribuyendo a incrementar aún más el mencionado deterioro del mercado de trabajo. La inestabilidad e inseguridad en el empleo; la reducción de los salarios; la reducción de los derechos laborales; el empeoramiento de las condiciones de trabajo; la aparición de importantes carencias y lagunas en su protección social; el incremento de los riesgos para la salud y seguridad; o la imposibilidad para conciliar la vida laboral con la privada; son solo algunos de los resultados que se están produciendo como derivada perversa de las transformaciones tecnológicas, que ya están padeciendo cientos de miles de trabajadores en nuestro país, y que se está cobrando protagonismo como uno de los factores causantes de desigualdades y pobreza.</w:t>
      </w:r>
    </w:p>
    <w:p w:rsidR="00DA0E82" w:rsidRPr="001D3810" w:rsidRDefault="00DA0E82" w:rsidP="00DA0E82">
      <w:pPr>
        <w:spacing w:after="0" w:line="240" w:lineRule="auto"/>
        <w:jc w:val="both"/>
        <w:rPr>
          <w:b/>
          <w:sz w:val="24"/>
          <w:szCs w:val="24"/>
        </w:rPr>
      </w:pPr>
    </w:p>
    <w:p w:rsidR="00DA0E82" w:rsidRPr="0029468C" w:rsidRDefault="00DA0E82" w:rsidP="00DA0E82">
      <w:pPr>
        <w:spacing w:after="0" w:line="240" w:lineRule="auto"/>
        <w:jc w:val="both"/>
        <w:rPr>
          <w:color w:val="4F6228" w:themeColor="accent3" w:themeShade="80"/>
          <w:sz w:val="24"/>
          <w:szCs w:val="24"/>
        </w:rPr>
      </w:pPr>
      <w:r w:rsidRPr="0029468C">
        <w:rPr>
          <w:b/>
          <w:color w:val="4F6228" w:themeColor="accent3" w:themeShade="80"/>
          <w:sz w:val="24"/>
          <w:szCs w:val="24"/>
        </w:rPr>
        <w:t>En definitiva, la precariedad laboral se está extendiendo. Y, sin embargo, nuestra economía y las personas lo que necesitan son buenos empleos, de calidad.</w:t>
      </w:r>
      <w:r w:rsidRPr="001D3810">
        <w:rPr>
          <w:b/>
          <w:sz w:val="24"/>
          <w:szCs w:val="24"/>
        </w:rPr>
        <w:t xml:space="preserve"> </w:t>
      </w:r>
      <w:r w:rsidRPr="001D3810">
        <w:rPr>
          <w:sz w:val="24"/>
          <w:szCs w:val="24"/>
        </w:rPr>
        <w:t xml:space="preserve">Porque si se crean empleo muy precarios y poco productivos (como ahora está sucediendo), los salarios que llevan aparejados son muy bajos, y apenas si permiten subsistir a los trabajadores y trabajadoras que los perciben, ni mantener unas expectativas razonables de mejora del nivel de vida. </w:t>
      </w:r>
      <w:r w:rsidRPr="0029468C">
        <w:rPr>
          <w:b/>
          <w:color w:val="4F6228" w:themeColor="accent3" w:themeShade="80"/>
          <w:sz w:val="24"/>
          <w:szCs w:val="24"/>
        </w:rPr>
        <w:t>Crece el PIB (y menos de lo que podría), pero no mejoran las condiciones laborales y de vida de la mayoría de la población.</w:t>
      </w:r>
    </w:p>
    <w:p w:rsidR="00DA0E82" w:rsidRPr="001D3810" w:rsidRDefault="00DA0E82" w:rsidP="00DA0E82">
      <w:pPr>
        <w:spacing w:after="0" w:line="240" w:lineRule="auto"/>
        <w:jc w:val="both"/>
        <w:rPr>
          <w:sz w:val="24"/>
          <w:szCs w:val="24"/>
        </w:rPr>
      </w:pPr>
    </w:p>
    <w:p w:rsidR="00DA0E82" w:rsidRPr="0029468C" w:rsidRDefault="00DA0E82" w:rsidP="00DA0E82">
      <w:pPr>
        <w:spacing w:after="0" w:line="240" w:lineRule="auto"/>
        <w:jc w:val="both"/>
        <w:rPr>
          <w:b/>
          <w:color w:val="4F6228" w:themeColor="accent3" w:themeShade="80"/>
          <w:sz w:val="24"/>
          <w:szCs w:val="24"/>
        </w:rPr>
      </w:pPr>
      <w:r w:rsidRPr="001D3810">
        <w:rPr>
          <w:sz w:val="24"/>
          <w:szCs w:val="24"/>
        </w:rPr>
        <w:t xml:space="preserve">Y también porque sabemos ya por experiencia que, cuando lleguen de nuevo dificultades (y la lógica del capitalismo dice que llegarán), </w:t>
      </w:r>
      <w:r w:rsidRPr="0029468C">
        <w:rPr>
          <w:b/>
          <w:color w:val="4F6228" w:themeColor="accent3" w:themeShade="80"/>
          <w:sz w:val="24"/>
          <w:szCs w:val="24"/>
        </w:rPr>
        <w:t xml:space="preserve">el empleo de mala calidad que ahora se crea de manera tan cuantiosa se destruirá de la misma manera, incluso más intensamente. Como pasó de 2008 a 2013. </w:t>
      </w:r>
    </w:p>
    <w:p w:rsidR="00DA0E82" w:rsidRPr="001D3810" w:rsidRDefault="00DA0E82" w:rsidP="00DA0E82">
      <w:pPr>
        <w:spacing w:after="0" w:line="240" w:lineRule="auto"/>
        <w:jc w:val="both"/>
        <w:rPr>
          <w:sz w:val="24"/>
          <w:szCs w:val="24"/>
        </w:rPr>
      </w:pPr>
    </w:p>
    <w:p w:rsidR="00DA0E82" w:rsidRPr="0029468C" w:rsidRDefault="00DA0E82" w:rsidP="00DA0E82">
      <w:pPr>
        <w:spacing w:after="0" w:line="240" w:lineRule="auto"/>
        <w:jc w:val="both"/>
        <w:rPr>
          <w:b/>
          <w:color w:val="4F6228" w:themeColor="accent3" w:themeShade="80"/>
          <w:sz w:val="24"/>
          <w:szCs w:val="24"/>
        </w:rPr>
      </w:pPr>
      <w:r w:rsidRPr="001D3810">
        <w:rPr>
          <w:sz w:val="24"/>
          <w:szCs w:val="24"/>
        </w:rPr>
        <w:t xml:space="preserve">Después de haber pasado una depresión de seis años de duración, de haber sufrido un durísimo ajuste presupuestario que ha implicado recortes en los sistemas de protección social básicos y en las inversiones estratégicas para el desarrollo (servicios públicos, infraestructuras), y de imponernos dos reformas e innumerables cambios legales puntuales en el sistema de relaciones laborales, resulta que </w:t>
      </w:r>
      <w:r w:rsidRPr="0029468C">
        <w:rPr>
          <w:b/>
          <w:color w:val="4F6228" w:themeColor="accent3" w:themeShade="80"/>
          <w:sz w:val="24"/>
          <w:szCs w:val="24"/>
        </w:rPr>
        <w:t xml:space="preserve">estamos replicando el modelo de salida de las crisis de otras etapas, que tan nefastos resultados tuvo a medio y largo plazo. Esta recuperación vuelve a tener los pies de barro, y está convirtiendo en estructurales dos situaciones incompatibles con un progreso sostenible y justo: la precariedad laboral y la desigualdad económica. </w:t>
      </w:r>
    </w:p>
    <w:p w:rsidR="00AE1384" w:rsidRPr="0029468C" w:rsidRDefault="00AE1384" w:rsidP="00FB46CF">
      <w:pPr>
        <w:spacing w:after="0" w:line="240" w:lineRule="auto"/>
        <w:jc w:val="both"/>
        <w:rPr>
          <w:color w:val="4F6228" w:themeColor="accent3" w:themeShade="80"/>
          <w:sz w:val="24"/>
          <w:szCs w:val="24"/>
        </w:rPr>
      </w:pPr>
    </w:p>
    <w:p w:rsidR="00AE1384" w:rsidRPr="0029468C" w:rsidRDefault="00AE1384" w:rsidP="00FB46CF">
      <w:pPr>
        <w:spacing w:after="0" w:line="240" w:lineRule="auto"/>
        <w:jc w:val="both"/>
        <w:rPr>
          <w:color w:val="4F6228" w:themeColor="accent3" w:themeShade="80"/>
          <w:sz w:val="24"/>
          <w:szCs w:val="24"/>
        </w:rPr>
      </w:pPr>
    </w:p>
    <w:p w:rsidR="00ED2545" w:rsidRPr="0029468C" w:rsidRDefault="00C319E1" w:rsidP="00AA4DF7">
      <w:pPr>
        <w:pStyle w:val="Prrafodelista"/>
        <w:numPr>
          <w:ilvl w:val="0"/>
          <w:numId w:val="13"/>
        </w:numPr>
        <w:spacing w:after="0" w:line="240" w:lineRule="auto"/>
        <w:ind w:left="426" w:hanging="426"/>
        <w:jc w:val="both"/>
        <w:rPr>
          <w:b/>
          <w:color w:val="4F6228" w:themeColor="accent3" w:themeShade="80"/>
          <w:sz w:val="28"/>
          <w:szCs w:val="28"/>
        </w:rPr>
      </w:pPr>
      <w:r w:rsidRPr="0029468C">
        <w:rPr>
          <w:b/>
          <w:color w:val="4F6228" w:themeColor="accent3" w:themeShade="80"/>
          <w:sz w:val="28"/>
          <w:szCs w:val="28"/>
        </w:rPr>
        <w:t>Cae el</w:t>
      </w:r>
      <w:r w:rsidR="00B8049E" w:rsidRPr="0029468C">
        <w:rPr>
          <w:b/>
          <w:color w:val="4F6228" w:themeColor="accent3" w:themeShade="80"/>
          <w:sz w:val="28"/>
          <w:szCs w:val="28"/>
        </w:rPr>
        <w:t xml:space="preserve"> desempleo</w:t>
      </w:r>
      <w:r w:rsidRPr="0029468C">
        <w:rPr>
          <w:b/>
          <w:color w:val="4F6228" w:themeColor="accent3" w:themeShade="80"/>
          <w:sz w:val="28"/>
          <w:szCs w:val="28"/>
        </w:rPr>
        <w:t xml:space="preserve">, pero persiste el más </w:t>
      </w:r>
      <w:r w:rsidR="00376B24" w:rsidRPr="0029468C">
        <w:rPr>
          <w:b/>
          <w:color w:val="4F6228" w:themeColor="accent3" w:themeShade="80"/>
          <w:sz w:val="28"/>
          <w:szCs w:val="28"/>
        </w:rPr>
        <w:t xml:space="preserve">estructural </w:t>
      </w:r>
    </w:p>
    <w:p w:rsidR="00714FD6" w:rsidRPr="0029468C" w:rsidRDefault="00714FD6" w:rsidP="00714FD6">
      <w:pPr>
        <w:spacing w:after="0" w:line="240" w:lineRule="auto"/>
        <w:jc w:val="both"/>
        <w:rPr>
          <w:color w:val="4F6228" w:themeColor="accent3" w:themeShade="80"/>
          <w:sz w:val="24"/>
          <w:szCs w:val="24"/>
        </w:rPr>
      </w:pPr>
    </w:p>
    <w:p w:rsidR="002E1834" w:rsidRPr="001D3810" w:rsidRDefault="002E1834" w:rsidP="00714FD6">
      <w:pPr>
        <w:spacing w:after="0" w:line="240" w:lineRule="auto"/>
        <w:jc w:val="both"/>
        <w:rPr>
          <w:sz w:val="24"/>
          <w:szCs w:val="24"/>
        </w:rPr>
      </w:pPr>
      <w:r w:rsidRPr="001D3810">
        <w:rPr>
          <w:sz w:val="24"/>
          <w:szCs w:val="24"/>
        </w:rPr>
        <w:t xml:space="preserve">El crecimiento económico y la creación de empleo conllevan lógicamente la </w:t>
      </w:r>
      <w:r w:rsidRPr="0029468C">
        <w:rPr>
          <w:b/>
          <w:color w:val="4F6228" w:themeColor="accent3" w:themeShade="80"/>
          <w:sz w:val="24"/>
          <w:szCs w:val="24"/>
        </w:rPr>
        <w:t>reducción del número de personas en situación de desempleo</w:t>
      </w:r>
      <w:r w:rsidRPr="0029468C">
        <w:rPr>
          <w:color w:val="4F6228" w:themeColor="accent3" w:themeShade="80"/>
          <w:sz w:val="24"/>
          <w:szCs w:val="24"/>
        </w:rPr>
        <w:t>,</w:t>
      </w:r>
      <w:r w:rsidRPr="001D3810">
        <w:rPr>
          <w:sz w:val="24"/>
          <w:szCs w:val="24"/>
        </w:rPr>
        <w:t xml:space="preserve"> que cae en términos anuales desde el cuarto trimestre de 2013. Ahora se reduce a un ritmo anual del </w:t>
      </w:r>
      <w:r w:rsidR="00495ED7" w:rsidRPr="001D3810">
        <w:rPr>
          <w:sz w:val="24"/>
          <w:szCs w:val="24"/>
        </w:rPr>
        <w:t>1</w:t>
      </w:r>
      <w:r w:rsidR="00B2107F" w:rsidRPr="001D3810">
        <w:rPr>
          <w:sz w:val="24"/>
          <w:szCs w:val="24"/>
        </w:rPr>
        <w:t>4</w:t>
      </w:r>
      <w:r w:rsidR="00495ED7" w:rsidRPr="001D3810">
        <w:rPr>
          <w:sz w:val="24"/>
          <w:szCs w:val="24"/>
        </w:rPr>
        <w:t>,</w:t>
      </w:r>
      <w:r w:rsidR="00B2107F" w:rsidRPr="001D3810">
        <w:rPr>
          <w:sz w:val="24"/>
          <w:szCs w:val="24"/>
        </w:rPr>
        <w:t>25</w:t>
      </w:r>
      <w:r w:rsidRPr="001D3810">
        <w:rPr>
          <w:sz w:val="24"/>
          <w:szCs w:val="24"/>
        </w:rPr>
        <w:t xml:space="preserve">%. En el </w:t>
      </w:r>
      <w:r w:rsidR="00495ED7" w:rsidRPr="001D3810">
        <w:rPr>
          <w:sz w:val="24"/>
          <w:szCs w:val="24"/>
        </w:rPr>
        <w:t>cuarto</w:t>
      </w:r>
      <w:r w:rsidR="00EE73AA" w:rsidRPr="001D3810">
        <w:rPr>
          <w:sz w:val="24"/>
          <w:szCs w:val="24"/>
        </w:rPr>
        <w:t xml:space="preserve"> trimestre de 201</w:t>
      </w:r>
      <w:r w:rsidR="003F5705" w:rsidRPr="001D3810">
        <w:rPr>
          <w:sz w:val="24"/>
          <w:szCs w:val="24"/>
        </w:rPr>
        <w:t>7</w:t>
      </w:r>
      <w:r w:rsidR="00EE73AA" w:rsidRPr="001D3810">
        <w:rPr>
          <w:sz w:val="24"/>
          <w:szCs w:val="24"/>
        </w:rPr>
        <w:t xml:space="preserve"> hay </w:t>
      </w:r>
      <w:r w:rsidR="00B2107F" w:rsidRPr="001D3810">
        <w:rPr>
          <w:sz w:val="24"/>
          <w:szCs w:val="24"/>
        </w:rPr>
        <w:t>960.600</w:t>
      </w:r>
      <w:r w:rsidRPr="001D3810">
        <w:rPr>
          <w:sz w:val="24"/>
          <w:szCs w:val="24"/>
        </w:rPr>
        <w:t xml:space="preserve"> desempleados</w:t>
      </w:r>
      <w:r w:rsidR="00931EAA" w:rsidRPr="001D3810">
        <w:rPr>
          <w:sz w:val="24"/>
          <w:szCs w:val="24"/>
        </w:rPr>
        <w:t xml:space="preserve">, </w:t>
      </w:r>
      <w:r w:rsidR="00B2107F" w:rsidRPr="001D3810">
        <w:rPr>
          <w:sz w:val="24"/>
          <w:szCs w:val="24"/>
        </w:rPr>
        <w:t>443.000</w:t>
      </w:r>
      <w:r w:rsidR="00931EAA" w:rsidRPr="001D3810">
        <w:rPr>
          <w:sz w:val="24"/>
          <w:szCs w:val="24"/>
        </w:rPr>
        <w:t xml:space="preserve"> menos que </w:t>
      </w:r>
      <w:r w:rsidRPr="001D3810">
        <w:rPr>
          <w:sz w:val="24"/>
          <w:szCs w:val="24"/>
        </w:rPr>
        <w:t>en el primero de 2014</w:t>
      </w:r>
      <w:r w:rsidR="00EE73AA" w:rsidRPr="001D3810">
        <w:rPr>
          <w:sz w:val="24"/>
          <w:szCs w:val="24"/>
        </w:rPr>
        <w:t xml:space="preserve"> (cuando comenzó a crecer el PIB)</w:t>
      </w:r>
      <w:r w:rsidRPr="001D3810">
        <w:rPr>
          <w:sz w:val="24"/>
          <w:szCs w:val="24"/>
        </w:rPr>
        <w:t xml:space="preserve">, y </w:t>
      </w:r>
      <w:r w:rsidRPr="0029468C">
        <w:rPr>
          <w:b/>
          <w:color w:val="4F6228" w:themeColor="accent3" w:themeShade="80"/>
          <w:sz w:val="24"/>
          <w:szCs w:val="24"/>
        </w:rPr>
        <w:t xml:space="preserve">la tasa de paro ha descendido </w:t>
      </w:r>
      <w:r w:rsidR="00B2107F" w:rsidRPr="0029468C">
        <w:rPr>
          <w:b/>
          <w:color w:val="4F6228" w:themeColor="accent3" w:themeShade="80"/>
          <w:sz w:val="24"/>
          <w:szCs w:val="24"/>
        </w:rPr>
        <w:t>10,5</w:t>
      </w:r>
      <w:r w:rsidRPr="0029468C">
        <w:rPr>
          <w:b/>
          <w:color w:val="4F6228" w:themeColor="accent3" w:themeShade="80"/>
          <w:sz w:val="24"/>
          <w:szCs w:val="24"/>
        </w:rPr>
        <w:t xml:space="preserve"> puntos</w:t>
      </w:r>
      <w:r w:rsidRPr="001D3810">
        <w:rPr>
          <w:sz w:val="24"/>
          <w:szCs w:val="24"/>
        </w:rPr>
        <w:t xml:space="preserve"> (del </w:t>
      </w:r>
      <w:r w:rsidR="00B2107F" w:rsidRPr="001D3810">
        <w:rPr>
          <w:sz w:val="24"/>
          <w:szCs w:val="24"/>
        </w:rPr>
        <w:t>34</w:t>
      </w:r>
      <w:r w:rsidRPr="001D3810">
        <w:rPr>
          <w:sz w:val="24"/>
          <w:szCs w:val="24"/>
        </w:rPr>
        <w:t>,9</w:t>
      </w:r>
      <w:r w:rsidR="00B2107F" w:rsidRPr="001D3810">
        <w:rPr>
          <w:sz w:val="24"/>
          <w:szCs w:val="24"/>
        </w:rPr>
        <w:t>4</w:t>
      </w:r>
      <w:r w:rsidRPr="001D3810">
        <w:rPr>
          <w:sz w:val="24"/>
          <w:szCs w:val="24"/>
        </w:rPr>
        <w:t xml:space="preserve">% al </w:t>
      </w:r>
      <w:r w:rsidR="00B2107F" w:rsidRPr="001D3810">
        <w:rPr>
          <w:sz w:val="24"/>
          <w:szCs w:val="24"/>
        </w:rPr>
        <w:t>24</w:t>
      </w:r>
      <w:r w:rsidR="00EE73AA" w:rsidRPr="001D3810">
        <w:rPr>
          <w:sz w:val="24"/>
          <w:szCs w:val="24"/>
        </w:rPr>
        <w:t>,</w:t>
      </w:r>
      <w:r w:rsidR="00B2107F" w:rsidRPr="001D3810">
        <w:rPr>
          <w:sz w:val="24"/>
          <w:szCs w:val="24"/>
        </w:rPr>
        <w:t>43</w:t>
      </w:r>
      <w:r w:rsidRPr="001D3810">
        <w:rPr>
          <w:sz w:val="24"/>
          <w:szCs w:val="24"/>
        </w:rPr>
        <w:t xml:space="preserve">%). </w:t>
      </w:r>
      <w:r w:rsidR="00931EAA" w:rsidRPr="001D3810">
        <w:rPr>
          <w:sz w:val="24"/>
          <w:szCs w:val="24"/>
        </w:rPr>
        <w:t>Es</w:t>
      </w:r>
      <w:r w:rsidR="00495ED7" w:rsidRPr="001D3810">
        <w:rPr>
          <w:sz w:val="24"/>
          <w:szCs w:val="24"/>
        </w:rPr>
        <w:t xml:space="preserve">tá en los niveles más bajos </w:t>
      </w:r>
      <w:r w:rsidR="00931EAA" w:rsidRPr="001D3810">
        <w:rPr>
          <w:sz w:val="24"/>
          <w:szCs w:val="24"/>
        </w:rPr>
        <w:t xml:space="preserve">desde el </w:t>
      </w:r>
      <w:r w:rsidR="00B2107F" w:rsidRPr="001D3810">
        <w:rPr>
          <w:sz w:val="24"/>
          <w:szCs w:val="24"/>
        </w:rPr>
        <w:t>primer</w:t>
      </w:r>
      <w:r w:rsidR="00931EAA" w:rsidRPr="001D3810">
        <w:rPr>
          <w:sz w:val="24"/>
          <w:szCs w:val="24"/>
        </w:rPr>
        <w:t xml:space="preserve"> trimestre de 200</w:t>
      </w:r>
      <w:r w:rsidR="00B2107F" w:rsidRPr="001D3810">
        <w:rPr>
          <w:sz w:val="24"/>
          <w:szCs w:val="24"/>
        </w:rPr>
        <w:t>9 (23,94%)</w:t>
      </w:r>
      <w:r w:rsidR="00931EAA" w:rsidRPr="001D3810">
        <w:rPr>
          <w:sz w:val="24"/>
          <w:szCs w:val="24"/>
        </w:rPr>
        <w:t>.</w:t>
      </w:r>
    </w:p>
    <w:p w:rsidR="00B97F9C" w:rsidRPr="001D3810" w:rsidRDefault="00B97F9C" w:rsidP="00714FD6">
      <w:pPr>
        <w:spacing w:after="0" w:line="240" w:lineRule="auto"/>
        <w:jc w:val="both"/>
        <w:rPr>
          <w:sz w:val="24"/>
          <w:szCs w:val="24"/>
        </w:rPr>
      </w:pPr>
    </w:p>
    <w:p w:rsidR="00C639F2" w:rsidRPr="001D3810" w:rsidRDefault="00C639F2" w:rsidP="00714FD6">
      <w:pPr>
        <w:spacing w:after="0" w:line="240" w:lineRule="auto"/>
        <w:jc w:val="both"/>
        <w:rPr>
          <w:sz w:val="24"/>
          <w:szCs w:val="24"/>
        </w:rPr>
      </w:pPr>
    </w:p>
    <w:p w:rsidR="00C639F2" w:rsidRPr="001D3810" w:rsidRDefault="00C639F2" w:rsidP="00714FD6">
      <w:pPr>
        <w:spacing w:after="0" w:line="240" w:lineRule="auto"/>
        <w:jc w:val="both"/>
        <w:rPr>
          <w:sz w:val="24"/>
          <w:szCs w:val="24"/>
        </w:rPr>
      </w:pPr>
    </w:p>
    <w:p w:rsidR="00AC0B7B" w:rsidRPr="001D3810" w:rsidRDefault="00AC0B7B" w:rsidP="00C639F2">
      <w:pPr>
        <w:spacing w:after="0" w:line="240" w:lineRule="auto"/>
        <w:jc w:val="center"/>
        <w:rPr>
          <w:b/>
          <w:i/>
          <w:sz w:val="20"/>
          <w:szCs w:val="28"/>
        </w:rPr>
      </w:pPr>
    </w:p>
    <w:p w:rsidR="00C639F2" w:rsidRPr="003E1031" w:rsidRDefault="00C639F2" w:rsidP="00C639F2">
      <w:pPr>
        <w:spacing w:after="0" w:line="240" w:lineRule="auto"/>
        <w:jc w:val="center"/>
        <w:rPr>
          <w:b/>
          <w:i/>
          <w:color w:val="4F6228" w:themeColor="accent3" w:themeShade="80"/>
          <w:sz w:val="28"/>
          <w:szCs w:val="28"/>
        </w:rPr>
      </w:pPr>
      <w:r w:rsidRPr="003E1031">
        <w:rPr>
          <w:b/>
          <w:i/>
          <w:color w:val="4F6228" w:themeColor="accent3" w:themeShade="80"/>
          <w:sz w:val="20"/>
          <w:szCs w:val="28"/>
        </w:rPr>
        <w:t>C4–</w:t>
      </w:r>
      <w:r w:rsidRPr="003E1031">
        <w:rPr>
          <w:b/>
          <w:i/>
          <w:color w:val="4F6228" w:themeColor="accent3" w:themeShade="80"/>
          <w:sz w:val="28"/>
          <w:szCs w:val="28"/>
        </w:rPr>
        <w:t>Evolución del desempleo por principales características</w:t>
      </w:r>
    </w:p>
    <w:p w:rsidR="00C639F2" w:rsidRPr="001D3810" w:rsidRDefault="00C639F2" w:rsidP="00C639F2">
      <w:pPr>
        <w:spacing w:after="0" w:line="240" w:lineRule="auto"/>
        <w:jc w:val="center"/>
        <w:rPr>
          <w:b/>
          <w:i/>
          <w:szCs w:val="24"/>
        </w:rPr>
      </w:pPr>
      <w:r w:rsidRPr="003E1031">
        <w:rPr>
          <w:b/>
          <w:i/>
          <w:color w:val="4F6228" w:themeColor="accent3" w:themeShade="80"/>
          <w:szCs w:val="24"/>
        </w:rPr>
        <w:t>Miles de personas</w:t>
      </w:r>
    </w:p>
    <w:p w:rsidR="00AC0B7B" w:rsidRPr="001D3810" w:rsidRDefault="00AC0B7B" w:rsidP="00C639F2">
      <w:pPr>
        <w:spacing w:after="0" w:line="240" w:lineRule="auto"/>
        <w:jc w:val="center"/>
        <w:rPr>
          <w:b/>
          <w:i/>
          <w:szCs w:val="24"/>
        </w:rPr>
      </w:pPr>
    </w:p>
    <w:tbl>
      <w:tblPr>
        <w:tblW w:w="12489" w:type="dxa"/>
        <w:tblInd w:w="-1988" w:type="dxa"/>
        <w:tblLayout w:type="fixed"/>
        <w:tblCellMar>
          <w:left w:w="70" w:type="dxa"/>
          <w:right w:w="70" w:type="dxa"/>
        </w:tblCellMar>
        <w:tblLook w:val="04A0"/>
      </w:tblPr>
      <w:tblGrid>
        <w:gridCol w:w="4193"/>
        <w:gridCol w:w="1130"/>
        <w:gridCol w:w="835"/>
        <w:gridCol w:w="835"/>
        <w:gridCol w:w="1301"/>
        <w:gridCol w:w="994"/>
        <w:gridCol w:w="1275"/>
        <w:gridCol w:w="1926"/>
      </w:tblGrid>
      <w:tr w:rsidR="00F82015" w:rsidRPr="001D3810" w:rsidTr="00F82015">
        <w:trPr>
          <w:trHeight w:val="255"/>
        </w:trPr>
        <w:tc>
          <w:tcPr>
            <w:tcW w:w="41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EVOLUCIÓN DESEMPLEO</w:t>
            </w:r>
          </w:p>
        </w:tc>
        <w:tc>
          <w:tcPr>
            <w:tcW w:w="1130" w:type="dxa"/>
            <w:tcBorders>
              <w:top w:val="single" w:sz="4" w:space="0" w:color="auto"/>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 </w:t>
            </w:r>
          </w:p>
        </w:tc>
        <w:tc>
          <w:tcPr>
            <w:tcW w:w="835" w:type="dxa"/>
            <w:tcBorders>
              <w:top w:val="single" w:sz="4" w:space="0" w:color="auto"/>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 </w:t>
            </w:r>
          </w:p>
        </w:tc>
        <w:tc>
          <w:tcPr>
            <w:tcW w:w="835" w:type="dxa"/>
            <w:tcBorders>
              <w:top w:val="single" w:sz="4" w:space="0" w:color="auto"/>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 </w:t>
            </w:r>
          </w:p>
        </w:tc>
        <w:tc>
          <w:tcPr>
            <w:tcW w:w="2295" w:type="dxa"/>
            <w:gridSpan w:val="2"/>
            <w:tcBorders>
              <w:top w:val="single" w:sz="4" w:space="0" w:color="auto"/>
              <w:left w:val="nil"/>
              <w:bottom w:val="single" w:sz="4" w:space="0" w:color="auto"/>
              <w:right w:val="single" w:sz="4" w:space="0" w:color="auto"/>
            </w:tcBorders>
            <w:shd w:val="clear" w:color="auto" w:fill="auto"/>
            <w:noWrap/>
            <w:vAlign w:val="bottom"/>
            <w:hideMark/>
          </w:tcPr>
          <w:p w:rsidR="00B2107F" w:rsidRPr="003E1031" w:rsidRDefault="00F82015" w:rsidP="00F82015">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Variación 2007T4-</w:t>
            </w:r>
            <w:r w:rsidR="00B2107F" w:rsidRPr="003E1031">
              <w:rPr>
                <w:rFonts w:ascii="Arial" w:eastAsia="Times New Roman" w:hAnsi="Arial" w:cs="Arial"/>
                <w:b/>
                <w:bCs/>
                <w:color w:val="4F6228" w:themeColor="accent3" w:themeShade="80"/>
                <w:sz w:val="18"/>
                <w:szCs w:val="18"/>
                <w:lang w:eastAsia="es-ES"/>
              </w:rPr>
              <w:t>2017T4</w:t>
            </w:r>
          </w:p>
        </w:tc>
        <w:tc>
          <w:tcPr>
            <w:tcW w:w="3201" w:type="dxa"/>
            <w:gridSpan w:val="2"/>
            <w:tcBorders>
              <w:top w:val="single" w:sz="4" w:space="0" w:color="auto"/>
              <w:left w:val="nil"/>
              <w:bottom w:val="single" w:sz="4" w:space="0" w:color="auto"/>
              <w:right w:val="single" w:sz="4" w:space="0" w:color="auto"/>
            </w:tcBorders>
            <w:shd w:val="clear" w:color="auto" w:fill="auto"/>
            <w:noWrap/>
            <w:vAlign w:val="bottom"/>
            <w:hideMark/>
          </w:tcPr>
          <w:p w:rsidR="00B2107F" w:rsidRPr="003E1031" w:rsidRDefault="00B2107F" w:rsidP="00F82015">
            <w:pPr>
              <w:spacing w:after="0" w:line="240" w:lineRule="auto"/>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Variación 20147T4</w:t>
            </w:r>
            <w:r w:rsidR="00F82015" w:rsidRPr="003E1031">
              <w:rPr>
                <w:rFonts w:ascii="Arial" w:eastAsia="Times New Roman" w:hAnsi="Arial" w:cs="Arial"/>
                <w:b/>
                <w:bCs/>
                <w:color w:val="4F6228" w:themeColor="accent3" w:themeShade="80"/>
                <w:sz w:val="18"/>
                <w:szCs w:val="18"/>
                <w:lang w:eastAsia="es-ES"/>
              </w:rPr>
              <w:t>-</w:t>
            </w:r>
            <w:r w:rsidRPr="003E1031">
              <w:rPr>
                <w:rFonts w:ascii="Arial" w:eastAsia="Times New Roman" w:hAnsi="Arial" w:cs="Arial"/>
                <w:b/>
                <w:bCs/>
                <w:color w:val="4F6228" w:themeColor="accent3" w:themeShade="80"/>
                <w:sz w:val="18"/>
                <w:szCs w:val="18"/>
                <w:lang w:eastAsia="es-ES"/>
              </w:rPr>
              <w:t>2017T4</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 </w:t>
            </w:r>
          </w:p>
        </w:tc>
        <w:tc>
          <w:tcPr>
            <w:tcW w:w="1130" w:type="dxa"/>
            <w:tcBorders>
              <w:top w:val="nil"/>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2007T4</w:t>
            </w:r>
          </w:p>
        </w:tc>
        <w:tc>
          <w:tcPr>
            <w:tcW w:w="835" w:type="dxa"/>
            <w:tcBorders>
              <w:top w:val="nil"/>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2014T4</w:t>
            </w:r>
          </w:p>
        </w:tc>
        <w:tc>
          <w:tcPr>
            <w:tcW w:w="835" w:type="dxa"/>
            <w:tcBorders>
              <w:top w:val="nil"/>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2017T4</w:t>
            </w:r>
          </w:p>
        </w:tc>
        <w:tc>
          <w:tcPr>
            <w:tcW w:w="1301" w:type="dxa"/>
            <w:tcBorders>
              <w:top w:val="nil"/>
              <w:left w:val="nil"/>
              <w:bottom w:val="single" w:sz="4" w:space="0" w:color="auto"/>
              <w:right w:val="single" w:sz="4" w:space="0" w:color="auto"/>
            </w:tcBorders>
            <w:shd w:val="clear" w:color="auto" w:fill="auto"/>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ABSOLUTA</w:t>
            </w:r>
          </w:p>
        </w:tc>
        <w:tc>
          <w:tcPr>
            <w:tcW w:w="994" w:type="dxa"/>
            <w:tcBorders>
              <w:top w:val="nil"/>
              <w:left w:val="nil"/>
              <w:bottom w:val="single" w:sz="4" w:space="0" w:color="auto"/>
              <w:right w:val="single" w:sz="4" w:space="0" w:color="auto"/>
            </w:tcBorders>
            <w:shd w:val="clear" w:color="auto" w:fill="auto"/>
            <w:noWrap/>
            <w:vAlign w:val="bottom"/>
            <w:hideMark/>
          </w:tcPr>
          <w:p w:rsidR="00B2107F" w:rsidRPr="003E1031" w:rsidRDefault="00F82015"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w:t>
            </w:r>
          </w:p>
        </w:tc>
        <w:tc>
          <w:tcPr>
            <w:tcW w:w="1275" w:type="dxa"/>
            <w:tcBorders>
              <w:top w:val="nil"/>
              <w:left w:val="nil"/>
              <w:bottom w:val="single" w:sz="4" w:space="0" w:color="auto"/>
              <w:right w:val="single" w:sz="4" w:space="0" w:color="auto"/>
            </w:tcBorders>
            <w:shd w:val="clear" w:color="auto" w:fill="auto"/>
            <w:noWrap/>
            <w:vAlign w:val="bottom"/>
            <w:hideMark/>
          </w:tcPr>
          <w:p w:rsidR="00B2107F" w:rsidRPr="003E1031" w:rsidRDefault="00B2107F" w:rsidP="00F82015">
            <w:pPr>
              <w:spacing w:after="0" w:line="240" w:lineRule="auto"/>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ABSOLUTA</w:t>
            </w:r>
          </w:p>
        </w:tc>
        <w:tc>
          <w:tcPr>
            <w:tcW w:w="1926" w:type="dxa"/>
            <w:tcBorders>
              <w:top w:val="nil"/>
              <w:left w:val="nil"/>
              <w:bottom w:val="single" w:sz="4" w:space="0" w:color="auto"/>
              <w:right w:val="single" w:sz="4" w:space="0" w:color="auto"/>
            </w:tcBorders>
            <w:shd w:val="clear" w:color="auto" w:fill="auto"/>
            <w:noWrap/>
            <w:vAlign w:val="bottom"/>
            <w:hideMark/>
          </w:tcPr>
          <w:p w:rsidR="00B2107F" w:rsidRPr="003E1031" w:rsidRDefault="00F82015" w:rsidP="00F82015">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TOTAL</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525,4</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1395,7</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960,6</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435,2</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82,83</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-435,1</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-31,17</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HOMBRES</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233,8</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706,1</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467,7</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233,9</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100,04</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-238,4</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-33,76</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MUJERES</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291,6</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689,7</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492,9</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201,3</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69,03</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-196,8</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-28,53</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Cs/>
                <w:color w:val="4F6228" w:themeColor="accent3" w:themeShade="80"/>
                <w:sz w:val="18"/>
                <w:szCs w:val="18"/>
                <w:lang w:eastAsia="es-ES"/>
              </w:rPr>
            </w:pPr>
            <w:r w:rsidRPr="003E1031">
              <w:rPr>
                <w:rFonts w:ascii="Arial" w:eastAsia="Times New Roman" w:hAnsi="Arial" w:cs="Arial"/>
                <w:bCs/>
                <w:color w:val="4F6228" w:themeColor="accent3" w:themeShade="80"/>
                <w:sz w:val="18"/>
                <w:szCs w:val="18"/>
                <w:lang w:eastAsia="es-ES"/>
              </w:rPr>
              <w:t>DE 16 A 19 AÑOS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45,6</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37</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33,3</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-12,3</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73,03</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-3,7</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-10</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DE 20 A 24 AÑOS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75,8</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158,4</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97,7</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21,9</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128,89</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-60,7</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-38,32</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DE 25 A 34 AÑOS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155,9</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353</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244,7</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88,8</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156,96</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-108,3</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-30,68</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DE 35 A 44 AÑOS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119,2</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378,9</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236,5</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117,3</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198,41</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-142,4</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-37,58</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DE 45 A 54 AÑOS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85,7</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321,3</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227,4</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141,7</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265,34</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-93,9</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-29,23</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DE 55 Y MÁS</w:t>
            </w:r>
          </w:p>
        </w:tc>
        <w:tc>
          <w:tcPr>
            <w:tcW w:w="1130"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43,2</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147,2</w:t>
            </w:r>
          </w:p>
        </w:tc>
        <w:tc>
          <w:tcPr>
            <w:tcW w:w="83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121</w:t>
            </w:r>
          </w:p>
        </w:tc>
        <w:tc>
          <w:tcPr>
            <w:tcW w:w="1301"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77,8</w:t>
            </w:r>
          </w:p>
        </w:tc>
        <w:tc>
          <w:tcPr>
            <w:tcW w:w="994"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280,09</w:t>
            </w:r>
          </w:p>
        </w:tc>
        <w:tc>
          <w:tcPr>
            <w:tcW w:w="1275"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-26,2</w:t>
            </w:r>
          </w:p>
        </w:tc>
        <w:tc>
          <w:tcPr>
            <w:tcW w:w="1926" w:type="dxa"/>
            <w:tcBorders>
              <w:top w:val="nil"/>
              <w:left w:val="nil"/>
              <w:bottom w:val="single" w:sz="4" w:space="0" w:color="auto"/>
              <w:right w:val="single" w:sz="4" w:space="0" w:color="auto"/>
            </w:tcBorders>
            <w:shd w:val="clear" w:color="000000" w:fill="A5A5A5"/>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-17,80</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ANALFABETOS</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17,9</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8,1</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-9,8</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-54,75</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PRIMARIOS INCOMPLETOS</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65,9</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43,2</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-22,7</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-34,45</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EDUCACIÓN PRIMARIA</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203,2</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122,2</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-81</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-39,86</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1ªETAPA SECUNDARIA Y SIMILAR</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579,7</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418,6</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-161,1</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-27,79</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F82015">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2ªETAPA SECUNDARIA ORIENT</w:t>
            </w:r>
            <w:r w:rsidR="00F82015" w:rsidRPr="003E1031">
              <w:rPr>
                <w:rFonts w:ascii="Arial" w:eastAsia="Times New Roman" w:hAnsi="Arial" w:cs="Arial"/>
                <w:b/>
                <w:bCs/>
                <w:color w:val="4F6228" w:themeColor="accent3" w:themeShade="80"/>
                <w:sz w:val="18"/>
                <w:szCs w:val="18"/>
                <w:lang w:eastAsia="es-ES"/>
              </w:rPr>
              <w:t>.</w:t>
            </w:r>
            <w:r w:rsidRPr="003E1031">
              <w:rPr>
                <w:rFonts w:ascii="Arial" w:eastAsia="Times New Roman" w:hAnsi="Arial" w:cs="Arial"/>
                <w:b/>
                <w:bCs/>
                <w:color w:val="4F6228" w:themeColor="accent3" w:themeShade="80"/>
                <w:sz w:val="18"/>
                <w:szCs w:val="18"/>
                <w:lang w:eastAsia="es-ES"/>
              </w:rPr>
              <w:t xml:space="preserve"> GRAL</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131,7</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92,6</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-39,1</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-29,69</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F82015">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2ªETAPA SECUNDARIA ORIENT</w:t>
            </w:r>
            <w:r w:rsidR="00F82015" w:rsidRPr="003E1031">
              <w:rPr>
                <w:rFonts w:ascii="Arial" w:eastAsia="Times New Roman" w:hAnsi="Arial" w:cs="Arial"/>
                <w:b/>
                <w:bCs/>
                <w:color w:val="4F6228" w:themeColor="accent3" w:themeShade="80"/>
                <w:sz w:val="18"/>
                <w:szCs w:val="18"/>
                <w:lang w:eastAsia="es-ES"/>
              </w:rPr>
              <w:t>.</w:t>
            </w:r>
            <w:r w:rsidRPr="003E1031">
              <w:rPr>
                <w:rFonts w:ascii="Arial" w:eastAsia="Times New Roman" w:hAnsi="Arial" w:cs="Arial"/>
                <w:b/>
                <w:bCs/>
                <w:color w:val="4F6228" w:themeColor="accent3" w:themeShade="80"/>
                <w:sz w:val="18"/>
                <w:szCs w:val="18"/>
                <w:lang w:eastAsia="es-ES"/>
              </w:rPr>
              <w:t xml:space="preserve"> PROF</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133,8</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103,4</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-30,4</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-22,72</w:t>
            </w:r>
          </w:p>
        </w:tc>
      </w:tr>
      <w:tr w:rsidR="00F82015" w:rsidRPr="001D3810" w:rsidTr="00F82015">
        <w:trPr>
          <w:trHeight w:val="255"/>
        </w:trPr>
        <w:tc>
          <w:tcPr>
            <w:tcW w:w="4193" w:type="dxa"/>
            <w:tcBorders>
              <w:top w:val="nil"/>
              <w:left w:val="single" w:sz="4" w:space="0" w:color="auto"/>
              <w:bottom w:val="single" w:sz="4" w:space="0" w:color="auto"/>
              <w:right w:val="single" w:sz="4" w:space="0" w:color="auto"/>
            </w:tcBorders>
            <w:shd w:val="clear" w:color="000000" w:fill="FFFFFF"/>
            <w:noWrap/>
            <w:vAlign w:val="bottom"/>
            <w:hideMark/>
          </w:tcPr>
          <w:p w:rsidR="00B2107F" w:rsidRPr="003E1031" w:rsidRDefault="00B2107F" w:rsidP="00B2107F">
            <w:pPr>
              <w:spacing w:after="0" w:line="240" w:lineRule="auto"/>
              <w:jc w:val="center"/>
              <w:rPr>
                <w:rFonts w:ascii="Arial" w:eastAsia="Times New Roman" w:hAnsi="Arial" w:cs="Arial"/>
                <w:b/>
                <w:bCs/>
                <w:color w:val="4F6228" w:themeColor="accent3" w:themeShade="80"/>
                <w:sz w:val="18"/>
                <w:szCs w:val="18"/>
                <w:lang w:eastAsia="es-ES"/>
              </w:rPr>
            </w:pPr>
            <w:r w:rsidRPr="003E1031">
              <w:rPr>
                <w:rFonts w:ascii="Arial" w:eastAsia="Times New Roman" w:hAnsi="Arial" w:cs="Arial"/>
                <w:b/>
                <w:bCs/>
                <w:color w:val="4F6228" w:themeColor="accent3" w:themeShade="80"/>
                <w:sz w:val="18"/>
                <w:szCs w:val="18"/>
                <w:lang w:eastAsia="es-ES"/>
              </w:rPr>
              <w:t>EDUCACIÓN SUPERIOR</w:t>
            </w:r>
          </w:p>
        </w:tc>
        <w:tc>
          <w:tcPr>
            <w:tcW w:w="1130"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263,4</w:t>
            </w:r>
          </w:p>
        </w:tc>
        <w:tc>
          <w:tcPr>
            <w:tcW w:w="83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172,5</w:t>
            </w:r>
          </w:p>
        </w:tc>
        <w:tc>
          <w:tcPr>
            <w:tcW w:w="1301"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994"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B2107F">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 </w:t>
            </w:r>
          </w:p>
        </w:tc>
        <w:tc>
          <w:tcPr>
            <w:tcW w:w="1275"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rPr>
                <w:rFonts w:ascii="Arial" w:eastAsia="Times New Roman" w:hAnsi="Arial" w:cs="Arial"/>
                <w:sz w:val="18"/>
                <w:szCs w:val="18"/>
                <w:lang w:eastAsia="es-ES"/>
              </w:rPr>
            </w:pPr>
            <w:r w:rsidRPr="001D3810">
              <w:rPr>
                <w:rFonts w:ascii="Arial" w:eastAsia="Times New Roman" w:hAnsi="Arial" w:cs="Arial"/>
                <w:sz w:val="18"/>
                <w:szCs w:val="18"/>
                <w:lang w:eastAsia="es-ES"/>
              </w:rPr>
              <w:t>-90,9</w:t>
            </w:r>
          </w:p>
        </w:tc>
        <w:tc>
          <w:tcPr>
            <w:tcW w:w="1926" w:type="dxa"/>
            <w:tcBorders>
              <w:top w:val="nil"/>
              <w:left w:val="nil"/>
              <w:bottom w:val="single" w:sz="4" w:space="0" w:color="auto"/>
              <w:right w:val="single" w:sz="4" w:space="0" w:color="auto"/>
            </w:tcBorders>
            <w:shd w:val="clear" w:color="000000" w:fill="BFBFBF"/>
            <w:noWrap/>
            <w:vAlign w:val="bottom"/>
            <w:hideMark/>
          </w:tcPr>
          <w:p w:rsidR="00B2107F" w:rsidRPr="001D3810" w:rsidRDefault="00B2107F" w:rsidP="00F82015">
            <w:pPr>
              <w:spacing w:after="0" w:line="240" w:lineRule="auto"/>
              <w:jc w:val="center"/>
              <w:rPr>
                <w:rFonts w:ascii="Arial" w:eastAsia="Times New Roman" w:hAnsi="Arial" w:cs="Arial"/>
                <w:sz w:val="18"/>
                <w:szCs w:val="18"/>
                <w:lang w:eastAsia="es-ES"/>
              </w:rPr>
            </w:pPr>
            <w:r w:rsidRPr="001D3810">
              <w:rPr>
                <w:rFonts w:ascii="Arial" w:eastAsia="Times New Roman" w:hAnsi="Arial" w:cs="Arial"/>
                <w:sz w:val="18"/>
                <w:szCs w:val="18"/>
                <w:lang w:eastAsia="es-ES"/>
              </w:rPr>
              <w:t>-34,51</w:t>
            </w:r>
          </w:p>
        </w:tc>
      </w:tr>
    </w:tbl>
    <w:p w:rsidR="00C639F2" w:rsidRPr="001D3810" w:rsidRDefault="00C639F2" w:rsidP="00C639F2">
      <w:pPr>
        <w:spacing w:after="0" w:line="240" w:lineRule="auto"/>
        <w:ind w:hanging="284"/>
        <w:jc w:val="center"/>
        <w:rPr>
          <w:sz w:val="24"/>
          <w:szCs w:val="24"/>
        </w:rPr>
      </w:pPr>
    </w:p>
    <w:p w:rsidR="00C639F2" w:rsidRPr="001D3810" w:rsidRDefault="00C639F2" w:rsidP="00C639F2">
      <w:pPr>
        <w:spacing w:after="0" w:line="240" w:lineRule="auto"/>
        <w:ind w:hanging="284"/>
        <w:jc w:val="both"/>
        <w:rPr>
          <w:i/>
          <w:sz w:val="18"/>
          <w:szCs w:val="24"/>
        </w:rPr>
      </w:pPr>
      <w:r w:rsidRPr="001D3810">
        <w:rPr>
          <w:i/>
          <w:sz w:val="18"/>
          <w:szCs w:val="24"/>
        </w:rPr>
        <w:t>Fuente: EPA. INE</w:t>
      </w:r>
    </w:p>
    <w:p w:rsidR="00C639F2" w:rsidRPr="001D3810" w:rsidRDefault="00C639F2" w:rsidP="00714FD6">
      <w:pPr>
        <w:spacing w:after="0" w:line="240" w:lineRule="auto"/>
        <w:jc w:val="both"/>
        <w:rPr>
          <w:sz w:val="24"/>
          <w:szCs w:val="24"/>
        </w:rPr>
      </w:pPr>
    </w:p>
    <w:p w:rsidR="00AC0B7B" w:rsidRPr="001D3810" w:rsidRDefault="00AC0B7B" w:rsidP="00714FD6">
      <w:pPr>
        <w:spacing w:after="0" w:line="240" w:lineRule="auto"/>
        <w:jc w:val="both"/>
        <w:rPr>
          <w:sz w:val="24"/>
          <w:szCs w:val="24"/>
        </w:rPr>
      </w:pPr>
    </w:p>
    <w:p w:rsidR="00AC0B7B" w:rsidRPr="001D3810" w:rsidRDefault="00C639F2" w:rsidP="00C639F2">
      <w:pPr>
        <w:spacing w:after="0" w:line="240" w:lineRule="auto"/>
        <w:jc w:val="both"/>
        <w:rPr>
          <w:sz w:val="24"/>
          <w:szCs w:val="24"/>
        </w:rPr>
      </w:pPr>
      <w:r w:rsidRPr="001D3810">
        <w:rPr>
          <w:sz w:val="24"/>
          <w:szCs w:val="24"/>
        </w:rPr>
        <w:t xml:space="preserve">Pero, además de por la creación de empleo, el desempleo se está reduciendo con mayor intensidad porque </w:t>
      </w:r>
      <w:r w:rsidRPr="003E1031">
        <w:rPr>
          <w:b/>
          <w:color w:val="4F6228" w:themeColor="accent3" w:themeShade="80"/>
          <w:sz w:val="24"/>
          <w:szCs w:val="24"/>
        </w:rPr>
        <w:t>continúa</w:t>
      </w:r>
      <w:r w:rsidR="00F82015" w:rsidRPr="003E1031">
        <w:rPr>
          <w:b/>
          <w:color w:val="4F6228" w:themeColor="accent3" w:themeShade="80"/>
          <w:sz w:val="24"/>
          <w:szCs w:val="24"/>
        </w:rPr>
        <w:t xml:space="preserve"> </w:t>
      </w:r>
      <w:r w:rsidRPr="003E1031">
        <w:rPr>
          <w:b/>
          <w:color w:val="4F6228" w:themeColor="accent3" w:themeShade="80"/>
          <w:sz w:val="24"/>
          <w:szCs w:val="24"/>
        </w:rPr>
        <w:t>cayendo la población activa</w:t>
      </w:r>
      <w:r w:rsidRPr="001D3810">
        <w:rPr>
          <w:sz w:val="24"/>
          <w:szCs w:val="24"/>
        </w:rPr>
        <w:t xml:space="preserve">, es decir, el número de personas en edad de trabajar disponibles para hacerlo. </w:t>
      </w:r>
      <w:r w:rsidRPr="003E1031">
        <w:rPr>
          <w:b/>
          <w:color w:val="4F6228" w:themeColor="accent3" w:themeShade="80"/>
          <w:sz w:val="24"/>
          <w:szCs w:val="24"/>
        </w:rPr>
        <w:t>Desde el tercer trimestre de 2011 el descenso ha sido de 6</w:t>
      </w:r>
      <w:r w:rsidR="00F82015" w:rsidRPr="003E1031">
        <w:rPr>
          <w:b/>
          <w:color w:val="4F6228" w:themeColor="accent3" w:themeShade="80"/>
          <w:sz w:val="24"/>
          <w:szCs w:val="24"/>
        </w:rPr>
        <w:t>9</w:t>
      </w:r>
      <w:r w:rsidRPr="003E1031">
        <w:rPr>
          <w:b/>
          <w:color w:val="4F6228" w:themeColor="accent3" w:themeShade="80"/>
          <w:sz w:val="24"/>
          <w:szCs w:val="24"/>
        </w:rPr>
        <w:t>.</w:t>
      </w:r>
      <w:r w:rsidR="00F82015" w:rsidRPr="003E1031">
        <w:rPr>
          <w:b/>
          <w:color w:val="4F6228" w:themeColor="accent3" w:themeShade="80"/>
          <w:sz w:val="24"/>
          <w:szCs w:val="24"/>
        </w:rPr>
        <w:t>4</w:t>
      </w:r>
      <w:r w:rsidRPr="003E1031">
        <w:rPr>
          <w:b/>
          <w:color w:val="4F6228" w:themeColor="accent3" w:themeShade="80"/>
          <w:sz w:val="24"/>
          <w:szCs w:val="24"/>
        </w:rPr>
        <w:t>00</w:t>
      </w:r>
      <w:r w:rsidRPr="003E1031">
        <w:rPr>
          <w:color w:val="4F6228" w:themeColor="accent3" w:themeShade="80"/>
          <w:sz w:val="24"/>
          <w:szCs w:val="24"/>
        </w:rPr>
        <w:t xml:space="preserve"> </w:t>
      </w:r>
      <w:r w:rsidRPr="001D3810">
        <w:rPr>
          <w:sz w:val="24"/>
          <w:szCs w:val="24"/>
        </w:rPr>
        <w:t xml:space="preserve">(un </w:t>
      </w:r>
      <w:r w:rsidR="00F82015" w:rsidRPr="001D3810">
        <w:rPr>
          <w:sz w:val="24"/>
          <w:szCs w:val="24"/>
        </w:rPr>
        <w:t>1</w:t>
      </w:r>
      <w:r w:rsidRPr="001D3810">
        <w:rPr>
          <w:sz w:val="24"/>
          <w:szCs w:val="24"/>
        </w:rPr>
        <w:t>,</w:t>
      </w:r>
      <w:r w:rsidR="00F82015" w:rsidRPr="001D3810">
        <w:rPr>
          <w:sz w:val="24"/>
          <w:szCs w:val="24"/>
        </w:rPr>
        <w:t>73</w:t>
      </w:r>
      <w:r w:rsidR="00AC0B7B" w:rsidRPr="001D3810">
        <w:rPr>
          <w:sz w:val="24"/>
          <w:szCs w:val="24"/>
        </w:rPr>
        <w:t>%).</w:t>
      </w:r>
    </w:p>
    <w:p w:rsidR="00AC0B7B" w:rsidRPr="001D3810" w:rsidRDefault="00AC0B7B" w:rsidP="00C639F2">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 xml:space="preserve">En el cuarto trimestre de 2017 ha registrado un </w:t>
      </w:r>
      <w:r w:rsidR="00F82015" w:rsidRPr="001D3810">
        <w:rPr>
          <w:sz w:val="24"/>
          <w:szCs w:val="24"/>
        </w:rPr>
        <w:t>descenso</w:t>
      </w:r>
      <w:r w:rsidRPr="001D3810">
        <w:rPr>
          <w:sz w:val="24"/>
          <w:szCs w:val="24"/>
        </w:rPr>
        <w:t xml:space="preserve"> interanual</w:t>
      </w:r>
      <w:r w:rsidR="00F82015" w:rsidRPr="001D3810">
        <w:rPr>
          <w:sz w:val="24"/>
          <w:szCs w:val="24"/>
        </w:rPr>
        <w:t xml:space="preserve"> del 0,84%, con lo que ya son diez los</w:t>
      </w:r>
      <w:r w:rsidRPr="001D3810">
        <w:rPr>
          <w:sz w:val="24"/>
          <w:szCs w:val="24"/>
        </w:rPr>
        <w:t xml:space="preserve"> trimestres consecutivos descendiendo. </w:t>
      </w:r>
    </w:p>
    <w:p w:rsidR="00912730" w:rsidRPr="001D3810" w:rsidRDefault="00912730" w:rsidP="00714FD6">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3E1031">
        <w:rPr>
          <w:b/>
          <w:color w:val="4F6228" w:themeColor="accent3" w:themeShade="80"/>
          <w:sz w:val="24"/>
          <w:szCs w:val="24"/>
        </w:rPr>
        <w:t xml:space="preserve">Esta caída de la población activa se concentra en los grupos de edad más jóvenes. En los últimos seis años el número de activos menores de 35 años ha descendido en </w:t>
      </w:r>
      <w:r w:rsidR="00F82015" w:rsidRPr="003E1031">
        <w:rPr>
          <w:b/>
          <w:color w:val="4F6228" w:themeColor="accent3" w:themeShade="80"/>
          <w:sz w:val="24"/>
          <w:szCs w:val="24"/>
        </w:rPr>
        <w:t>335.200</w:t>
      </w:r>
      <w:r w:rsidR="00AC0B7B" w:rsidRPr="003E1031">
        <w:rPr>
          <w:b/>
          <w:color w:val="4F6228" w:themeColor="accent3" w:themeShade="80"/>
          <w:sz w:val="24"/>
          <w:szCs w:val="24"/>
        </w:rPr>
        <w:t xml:space="preserve"> (un 22,68%)</w:t>
      </w:r>
      <w:r w:rsidRPr="003E1031">
        <w:rPr>
          <w:color w:val="4F6228" w:themeColor="accent3" w:themeShade="80"/>
          <w:sz w:val="24"/>
          <w:szCs w:val="24"/>
        </w:rPr>
        <w:t>,</w:t>
      </w:r>
      <w:r w:rsidRPr="001D3810">
        <w:rPr>
          <w:sz w:val="24"/>
          <w:szCs w:val="24"/>
        </w:rPr>
        <w:t xml:space="preserve"> mientras que entre los </w:t>
      </w:r>
      <w:r w:rsidR="00AC0B7B" w:rsidRPr="001D3810">
        <w:rPr>
          <w:sz w:val="24"/>
          <w:szCs w:val="24"/>
        </w:rPr>
        <w:t>mayores de 35 años ha aumentado en 245.400</w:t>
      </w:r>
      <w:r w:rsidRPr="001D3810">
        <w:rPr>
          <w:sz w:val="24"/>
          <w:szCs w:val="24"/>
        </w:rPr>
        <w:t xml:space="preserve"> (un </w:t>
      </w:r>
      <w:r w:rsidR="00AC0B7B" w:rsidRPr="001D3810">
        <w:rPr>
          <w:sz w:val="24"/>
          <w:szCs w:val="24"/>
        </w:rPr>
        <w:t>9</w:t>
      </w:r>
      <w:r w:rsidRPr="001D3810">
        <w:rPr>
          <w:sz w:val="24"/>
          <w:szCs w:val="24"/>
        </w:rPr>
        <w:t>,</w:t>
      </w:r>
      <w:r w:rsidR="00AC0B7B" w:rsidRPr="001D3810">
        <w:rPr>
          <w:sz w:val="24"/>
          <w:szCs w:val="24"/>
        </w:rPr>
        <w:t>65</w:t>
      </w:r>
      <w:r w:rsidRPr="001D3810">
        <w:rPr>
          <w:sz w:val="24"/>
          <w:szCs w:val="24"/>
        </w:rPr>
        <w:t xml:space="preserve">%). </w:t>
      </w:r>
      <w:r w:rsidRPr="001D3810">
        <w:rPr>
          <w:i/>
          <w:sz w:val="24"/>
          <w:szCs w:val="24"/>
        </w:rPr>
        <w:t>(Gráfico 12)</w:t>
      </w:r>
      <w:r w:rsidRPr="001D3810">
        <w:rPr>
          <w:sz w:val="24"/>
          <w:szCs w:val="24"/>
        </w:rPr>
        <w:t>.</w:t>
      </w:r>
    </w:p>
    <w:p w:rsidR="00912730" w:rsidRPr="001D3810" w:rsidRDefault="00912730" w:rsidP="00714FD6">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Este descenso de población trabajadora ha facilitado</w:t>
      </w:r>
      <w:r w:rsidR="00AC0B7B" w:rsidRPr="001D3810">
        <w:rPr>
          <w:sz w:val="24"/>
          <w:szCs w:val="24"/>
        </w:rPr>
        <w:t>,</w:t>
      </w:r>
      <w:r w:rsidRPr="001D3810">
        <w:rPr>
          <w:sz w:val="24"/>
          <w:szCs w:val="24"/>
        </w:rPr>
        <w:t xml:space="preserve"> estadísticamente</w:t>
      </w:r>
      <w:r w:rsidR="00AC0B7B" w:rsidRPr="001D3810">
        <w:rPr>
          <w:sz w:val="24"/>
          <w:szCs w:val="24"/>
        </w:rPr>
        <w:t>,</w:t>
      </w:r>
      <w:r w:rsidRPr="001D3810">
        <w:rPr>
          <w:sz w:val="24"/>
          <w:szCs w:val="24"/>
        </w:rPr>
        <w:t xml:space="preserve"> la caída del desempleo, pero también ha reducido la capacidad productiva </w:t>
      </w:r>
      <w:r w:rsidR="00AC0B7B" w:rsidRPr="001D3810">
        <w:rPr>
          <w:sz w:val="24"/>
          <w:szCs w:val="24"/>
        </w:rPr>
        <w:t>de la Comunidad Autónoma</w:t>
      </w:r>
      <w:r w:rsidRPr="001D3810">
        <w:rPr>
          <w:sz w:val="24"/>
          <w:szCs w:val="24"/>
        </w:rPr>
        <w:t xml:space="preserve">, y con ello, la capacidad de generar ingresos suficientes para sostener el sistema de protección social y para desarrollar las políticas de progreso que precisa </w:t>
      </w:r>
      <w:r w:rsidR="00AC0B7B" w:rsidRPr="001D3810">
        <w:rPr>
          <w:sz w:val="24"/>
          <w:szCs w:val="24"/>
        </w:rPr>
        <w:t>Andalucía</w:t>
      </w:r>
      <w:r w:rsidRPr="001D3810">
        <w:rPr>
          <w:sz w:val="24"/>
          <w:szCs w:val="24"/>
        </w:rPr>
        <w:t xml:space="preserve">. </w:t>
      </w:r>
    </w:p>
    <w:p w:rsidR="00AC0B7B" w:rsidRPr="001D3810" w:rsidRDefault="00AC0B7B">
      <w:pPr>
        <w:rPr>
          <w:sz w:val="24"/>
          <w:szCs w:val="24"/>
        </w:rPr>
      </w:pPr>
      <w:r w:rsidRPr="001D3810">
        <w:rPr>
          <w:sz w:val="24"/>
          <w:szCs w:val="24"/>
        </w:rPr>
        <w:br w:type="page"/>
      </w:r>
    </w:p>
    <w:p w:rsidR="00C639F2" w:rsidRPr="001D3810" w:rsidRDefault="00C639F2" w:rsidP="00714FD6">
      <w:pPr>
        <w:spacing w:after="0" w:line="240" w:lineRule="auto"/>
        <w:jc w:val="both"/>
        <w:rPr>
          <w:sz w:val="24"/>
          <w:szCs w:val="24"/>
        </w:rPr>
      </w:pPr>
    </w:p>
    <w:p w:rsidR="00AE1384" w:rsidRPr="003E1031" w:rsidRDefault="00C319E1" w:rsidP="00AE1384">
      <w:pPr>
        <w:spacing w:after="0" w:line="240" w:lineRule="auto"/>
        <w:jc w:val="center"/>
        <w:rPr>
          <w:b/>
          <w:i/>
          <w:color w:val="4F6228" w:themeColor="accent3" w:themeShade="80"/>
          <w:sz w:val="28"/>
          <w:szCs w:val="28"/>
        </w:rPr>
      </w:pPr>
      <w:r w:rsidRPr="003E1031">
        <w:rPr>
          <w:b/>
          <w:i/>
          <w:color w:val="4F6228" w:themeColor="accent3" w:themeShade="80"/>
          <w:sz w:val="20"/>
          <w:szCs w:val="28"/>
        </w:rPr>
        <w:t>G1</w:t>
      </w:r>
      <w:r w:rsidR="000B6DA5" w:rsidRPr="003E1031">
        <w:rPr>
          <w:b/>
          <w:i/>
          <w:color w:val="4F6228" w:themeColor="accent3" w:themeShade="80"/>
          <w:sz w:val="20"/>
          <w:szCs w:val="28"/>
        </w:rPr>
        <w:t>2</w:t>
      </w:r>
      <w:r w:rsidRPr="003E1031">
        <w:rPr>
          <w:b/>
          <w:i/>
          <w:color w:val="4F6228" w:themeColor="accent3" w:themeShade="80"/>
          <w:sz w:val="20"/>
          <w:szCs w:val="28"/>
        </w:rPr>
        <w:t xml:space="preserve"> - </w:t>
      </w:r>
      <w:r w:rsidR="00AE1384" w:rsidRPr="003E1031">
        <w:rPr>
          <w:b/>
          <w:i/>
          <w:color w:val="4F6228" w:themeColor="accent3" w:themeShade="80"/>
          <w:sz w:val="28"/>
          <w:szCs w:val="28"/>
        </w:rPr>
        <w:t xml:space="preserve">Evolución de los activos </w:t>
      </w:r>
      <w:r w:rsidR="003F5705" w:rsidRPr="003E1031">
        <w:rPr>
          <w:b/>
          <w:i/>
          <w:color w:val="4F6228" w:themeColor="accent3" w:themeShade="80"/>
          <w:sz w:val="28"/>
          <w:szCs w:val="28"/>
        </w:rPr>
        <w:t xml:space="preserve">por edad </w:t>
      </w:r>
    </w:p>
    <w:p w:rsidR="00AE1384" w:rsidRPr="001D3810" w:rsidRDefault="00D04048" w:rsidP="00AE1384">
      <w:pPr>
        <w:spacing w:after="0" w:line="240" w:lineRule="auto"/>
        <w:jc w:val="center"/>
        <w:rPr>
          <w:sz w:val="24"/>
          <w:szCs w:val="24"/>
        </w:rPr>
      </w:pPr>
      <w:r w:rsidRPr="001D3810">
        <w:rPr>
          <w:b/>
          <w:i/>
          <w:noProof/>
          <w:lang w:eastAsia="es-ES"/>
        </w:rPr>
        <w:drawing>
          <wp:inline distT="0" distB="0" distL="0" distR="0">
            <wp:extent cx="5400040" cy="3362325"/>
            <wp:effectExtent l="19050" t="0" r="10160" b="0"/>
            <wp:docPr id="19"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3FF9" w:rsidRPr="003E1031" w:rsidRDefault="00AD3FF9" w:rsidP="00C639F2">
      <w:pPr>
        <w:pStyle w:val="NormalWeb"/>
        <w:spacing w:before="0" w:beforeAutospacing="0" w:after="0" w:afterAutospacing="0"/>
        <w:ind w:firstLine="567"/>
        <w:jc w:val="both"/>
        <w:rPr>
          <w:rFonts w:asciiTheme="minorHAnsi" w:hAnsiTheme="minorHAnsi"/>
          <w:color w:val="4F6228" w:themeColor="accent3" w:themeShade="80"/>
          <w:sz w:val="20"/>
          <w:szCs w:val="20"/>
        </w:rPr>
      </w:pPr>
      <w:r w:rsidRPr="003E1031">
        <w:rPr>
          <w:rFonts w:asciiTheme="minorHAnsi" w:eastAsiaTheme="minorEastAsia" w:hAnsiTheme="minorHAnsi"/>
          <w:bCs/>
          <w:i/>
          <w:iCs/>
          <w:color w:val="4F6228" w:themeColor="accent3" w:themeShade="80"/>
          <w:kern w:val="24"/>
          <w:sz w:val="20"/>
          <w:szCs w:val="20"/>
        </w:rPr>
        <w:t>Fuente: EPA. INE</w:t>
      </w:r>
      <w:r w:rsidR="00D04048" w:rsidRPr="003E1031">
        <w:rPr>
          <w:rFonts w:asciiTheme="minorHAnsi" w:hAnsiTheme="minorHAnsi"/>
          <w:b/>
          <w:i/>
          <w:color w:val="4F6228" w:themeColor="accent3" w:themeShade="80"/>
          <w:sz w:val="20"/>
          <w:szCs w:val="20"/>
        </w:rPr>
        <w:t xml:space="preserve"> En miles de personas.IV-2011 a IV-2017</w:t>
      </w:r>
    </w:p>
    <w:p w:rsidR="00076ED7" w:rsidRPr="001D3810" w:rsidRDefault="00076ED7" w:rsidP="00AE1384">
      <w:pPr>
        <w:spacing w:after="0" w:line="240" w:lineRule="auto"/>
        <w:jc w:val="both"/>
        <w:rPr>
          <w:sz w:val="24"/>
          <w:szCs w:val="24"/>
        </w:rPr>
      </w:pPr>
    </w:p>
    <w:p w:rsidR="00BF0BA0" w:rsidRPr="001D3810" w:rsidRDefault="00BF0BA0" w:rsidP="00BF0BA0">
      <w:pPr>
        <w:spacing w:after="0" w:line="240" w:lineRule="auto"/>
        <w:jc w:val="both"/>
        <w:rPr>
          <w:sz w:val="24"/>
          <w:szCs w:val="24"/>
        </w:rPr>
      </w:pPr>
      <w:r w:rsidRPr="001D3810">
        <w:rPr>
          <w:sz w:val="24"/>
          <w:szCs w:val="24"/>
        </w:rPr>
        <w:t xml:space="preserve">Pero </w:t>
      </w:r>
      <w:r w:rsidRPr="003E1031">
        <w:rPr>
          <w:b/>
          <w:color w:val="4F6228" w:themeColor="accent3" w:themeShade="80"/>
          <w:sz w:val="24"/>
          <w:szCs w:val="24"/>
        </w:rPr>
        <w:t xml:space="preserve">la circunstancia más negativa que caracteriza el desempleo en </w:t>
      </w:r>
      <w:r w:rsidR="00D04048" w:rsidRPr="003E1031">
        <w:rPr>
          <w:b/>
          <w:color w:val="4F6228" w:themeColor="accent3" w:themeShade="80"/>
          <w:sz w:val="24"/>
          <w:szCs w:val="24"/>
        </w:rPr>
        <w:t>Andalucía</w:t>
      </w:r>
      <w:r w:rsidRPr="003E1031">
        <w:rPr>
          <w:b/>
          <w:color w:val="4F6228" w:themeColor="accent3" w:themeShade="80"/>
          <w:sz w:val="24"/>
          <w:szCs w:val="24"/>
        </w:rPr>
        <w:t xml:space="preserve"> es el fuerte peso del paro de larga duración</w:t>
      </w:r>
      <w:r w:rsidRPr="001D3810">
        <w:rPr>
          <w:sz w:val="24"/>
          <w:szCs w:val="24"/>
        </w:rPr>
        <w:t xml:space="preserve">. El desempleo se </w:t>
      </w:r>
      <w:r w:rsidR="000F4BEF" w:rsidRPr="001D3810">
        <w:rPr>
          <w:sz w:val="24"/>
          <w:szCs w:val="24"/>
        </w:rPr>
        <w:t>ha hecho</w:t>
      </w:r>
      <w:r w:rsidRPr="001D3810">
        <w:rPr>
          <w:sz w:val="24"/>
          <w:szCs w:val="24"/>
        </w:rPr>
        <w:t xml:space="preserve"> cada vez más estructural, porque las políticas aplicadas no son capaces de facilitar un empleo a aquellos que se encuentran en condiciones más complicadas de empleabilidad. </w:t>
      </w:r>
    </w:p>
    <w:p w:rsidR="00BF0BA0" w:rsidRPr="001D3810" w:rsidRDefault="00BF0BA0" w:rsidP="00AE1384">
      <w:pPr>
        <w:spacing w:after="0" w:line="240" w:lineRule="auto"/>
        <w:jc w:val="both"/>
        <w:rPr>
          <w:sz w:val="24"/>
          <w:szCs w:val="24"/>
        </w:rPr>
      </w:pPr>
    </w:p>
    <w:p w:rsidR="00EC0322" w:rsidRPr="003E1031" w:rsidRDefault="00C319E1" w:rsidP="00EC0322">
      <w:pPr>
        <w:spacing w:after="0" w:line="240" w:lineRule="auto"/>
        <w:jc w:val="center"/>
        <w:rPr>
          <w:b/>
          <w:i/>
          <w:color w:val="4F6228" w:themeColor="accent3" w:themeShade="80"/>
          <w:sz w:val="28"/>
          <w:szCs w:val="28"/>
        </w:rPr>
      </w:pPr>
      <w:r w:rsidRPr="003E1031">
        <w:rPr>
          <w:b/>
          <w:i/>
          <w:color w:val="4F6228" w:themeColor="accent3" w:themeShade="80"/>
          <w:sz w:val="20"/>
          <w:szCs w:val="28"/>
        </w:rPr>
        <w:t>G1</w:t>
      </w:r>
      <w:r w:rsidR="000B6DA5" w:rsidRPr="003E1031">
        <w:rPr>
          <w:b/>
          <w:i/>
          <w:color w:val="4F6228" w:themeColor="accent3" w:themeShade="80"/>
          <w:sz w:val="20"/>
          <w:szCs w:val="28"/>
        </w:rPr>
        <w:t>3</w:t>
      </w:r>
      <w:r w:rsidRPr="003E1031">
        <w:rPr>
          <w:b/>
          <w:i/>
          <w:color w:val="4F6228" w:themeColor="accent3" w:themeShade="80"/>
          <w:sz w:val="20"/>
          <w:szCs w:val="28"/>
        </w:rPr>
        <w:t xml:space="preserve"> - </w:t>
      </w:r>
      <w:r w:rsidR="00EC0322" w:rsidRPr="003E1031">
        <w:rPr>
          <w:b/>
          <w:i/>
          <w:color w:val="4F6228" w:themeColor="accent3" w:themeShade="80"/>
          <w:sz w:val="28"/>
          <w:szCs w:val="28"/>
        </w:rPr>
        <w:t>Evolución del paro de larga duración</w:t>
      </w:r>
    </w:p>
    <w:p w:rsidR="00885A3F" w:rsidRPr="001D3810" w:rsidRDefault="00D04048" w:rsidP="00EC0322">
      <w:pPr>
        <w:spacing w:after="0" w:line="240" w:lineRule="auto"/>
        <w:jc w:val="center"/>
        <w:rPr>
          <w:sz w:val="24"/>
          <w:szCs w:val="24"/>
        </w:rPr>
      </w:pPr>
      <w:r w:rsidRPr="001D3810">
        <w:rPr>
          <w:noProof/>
          <w:sz w:val="24"/>
          <w:szCs w:val="24"/>
          <w:lang w:eastAsia="es-ES"/>
        </w:rPr>
        <w:drawing>
          <wp:inline distT="0" distB="0" distL="0" distR="0">
            <wp:extent cx="5400040" cy="3419475"/>
            <wp:effectExtent l="19050" t="0" r="10160" b="0"/>
            <wp:docPr id="21"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04048" w:rsidRPr="003E1031" w:rsidRDefault="00EC0322" w:rsidP="00D04048">
      <w:pPr>
        <w:spacing w:after="0" w:line="240" w:lineRule="auto"/>
        <w:jc w:val="center"/>
        <w:rPr>
          <w:b/>
          <w:i/>
          <w:color w:val="4F6228" w:themeColor="accent3" w:themeShade="80"/>
        </w:rPr>
      </w:pPr>
      <w:r w:rsidRPr="003E1031">
        <w:rPr>
          <w:rFonts w:eastAsiaTheme="minorEastAsia"/>
          <w:bCs/>
          <w:i/>
          <w:iCs/>
          <w:color w:val="4F6228" w:themeColor="accent3" w:themeShade="80"/>
          <w:kern w:val="24"/>
          <w:sz w:val="20"/>
          <w:szCs w:val="20"/>
        </w:rPr>
        <w:t>Fuente: EPA. INE</w:t>
      </w:r>
      <w:r w:rsidR="00D04048" w:rsidRPr="003E1031">
        <w:rPr>
          <w:rFonts w:eastAsiaTheme="minorEastAsia"/>
          <w:bCs/>
          <w:i/>
          <w:iCs/>
          <w:color w:val="4F6228" w:themeColor="accent3" w:themeShade="80"/>
          <w:kern w:val="24"/>
          <w:sz w:val="20"/>
          <w:szCs w:val="20"/>
        </w:rPr>
        <w:t xml:space="preserve"> </w:t>
      </w:r>
      <w:r w:rsidR="00D04048" w:rsidRPr="003E1031">
        <w:rPr>
          <w:b/>
          <w:i/>
          <w:color w:val="4F6228" w:themeColor="accent3" w:themeShade="80"/>
        </w:rPr>
        <w:t>En porcentaje sobre el total de desempleados</w:t>
      </w:r>
    </w:p>
    <w:p w:rsidR="00C639F2" w:rsidRPr="003E1031" w:rsidRDefault="00C639F2" w:rsidP="00C639F2">
      <w:pPr>
        <w:spacing w:after="0" w:line="240" w:lineRule="auto"/>
        <w:jc w:val="both"/>
        <w:rPr>
          <w:color w:val="4F6228" w:themeColor="accent3" w:themeShade="80"/>
          <w:sz w:val="24"/>
          <w:szCs w:val="24"/>
        </w:rPr>
      </w:pPr>
      <w:r w:rsidRPr="001D3810">
        <w:rPr>
          <w:sz w:val="24"/>
          <w:szCs w:val="24"/>
        </w:rPr>
        <w:lastRenderedPageBreak/>
        <w:t xml:space="preserve">En el primer trimestre de 2014 la cifra de desempleados que llevaban más de un año buscando empleo alcanzó su máximo histórico: </w:t>
      </w:r>
      <w:r w:rsidR="00D04048" w:rsidRPr="001D3810">
        <w:rPr>
          <w:sz w:val="24"/>
          <w:szCs w:val="24"/>
        </w:rPr>
        <w:t>888</w:t>
      </w:r>
      <w:r w:rsidRPr="001D3810">
        <w:rPr>
          <w:sz w:val="24"/>
          <w:szCs w:val="24"/>
        </w:rPr>
        <w:t>.</w:t>
      </w:r>
      <w:r w:rsidR="00D04048" w:rsidRPr="001D3810">
        <w:rPr>
          <w:sz w:val="24"/>
          <w:szCs w:val="24"/>
        </w:rPr>
        <w:t>7</w:t>
      </w:r>
      <w:r w:rsidRPr="001D3810">
        <w:rPr>
          <w:sz w:val="24"/>
          <w:szCs w:val="24"/>
        </w:rPr>
        <w:t>00 personas</w:t>
      </w:r>
      <w:r w:rsidR="00D04048" w:rsidRPr="001D3810">
        <w:rPr>
          <w:sz w:val="24"/>
          <w:szCs w:val="24"/>
        </w:rPr>
        <w:t xml:space="preserve"> y </w:t>
      </w:r>
      <w:r w:rsidRPr="001D3810">
        <w:rPr>
          <w:sz w:val="24"/>
          <w:szCs w:val="24"/>
        </w:rPr>
        <w:t>alcanzó el máximo en porcentaje sobre el total de desempleados: el 6</w:t>
      </w:r>
      <w:r w:rsidR="00D04048" w:rsidRPr="001D3810">
        <w:rPr>
          <w:sz w:val="24"/>
          <w:szCs w:val="24"/>
        </w:rPr>
        <w:t>3</w:t>
      </w:r>
      <w:r w:rsidRPr="001D3810">
        <w:rPr>
          <w:sz w:val="24"/>
          <w:szCs w:val="24"/>
        </w:rPr>
        <w:t>,</w:t>
      </w:r>
      <w:r w:rsidR="00D04048" w:rsidRPr="001D3810">
        <w:rPr>
          <w:sz w:val="24"/>
          <w:szCs w:val="24"/>
        </w:rPr>
        <w:t>32</w:t>
      </w:r>
      <w:r w:rsidRPr="001D3810">
        <w:rPr>
          <w:sz w:val="24"/>
          <w:szCs w:val="24"/>
        </w:rPr>
        <w:t xml:space="preserve">%. Desde entonces se ha ido reduciendo, pero </w:t>
      </w:r>
      <w:r w:rsidRPr="003E1031">
        <w:rPr>
          <w:b/>
          <w:color w:val="4F6228" w:themeColor="accent3" w:themeShade="80"/>
          <w:sz w:val="24"/>
          <w:szCs w:val="24"/>
        </w:rPr>
        <w:t xml:space="preserve">las cifras aún son desoladoras. Hay </w:t>
      </w:r>
      <w:r w:rsidR="00D04048" w:rsidRPr="003E1031">
        <w:rPr>
          <w:b/>
          <w:color w:val="4F6228" w:themeColor="accent3" w:themeShade="80"/>
          <w:sz w:val="24"/>
          <w:szCs w:val="24"/>
        </w:rPr>
        <w:t>492.300</w:t>
      </w:r>
      <w:r w:rsidRPr="003E1031">
        <w:rPr>
          <w:b/>
          <w:color w:val="4F6228" w:themeColor="accent3" w:themeShade="80"/>
          <w:sz w:val="24"/>
          <w:szCs w:val="24"/>
        </w:rPr>
        <w:t xml:space="preserve"> personas que llevan más de un año en situación de desempleo, uno de cada dos; de ellos, 36</w:t>
      </w:r>
      <w:r w:rsidR="00D04048" w:rsidRPr="003E1031">
        <w:rPr>
          <w:b/>
          <w:color w:val="4F6228" w:themeColor="accent3" w:themeShade="80"/>
          <w:sz w:val="24"/>
          <w:szCs w:val="24"/>
        </w:rPr>
        <w:t>2</w:t>
      </w:r>
      <w:r w:rsidRPr="003E1031">
        <w:rPr>
          <w:b/>
          <w:color w:val="4F6228" w:themeColor="accent3" w:themeShade="80"/>
          <w:sz w:val="24"/>
          <w:szCs w:val="24"/>
        </w:rPr>
        <w:t>.500 llevan dos años o más en desempleo (el 3</w:t>
      </w:r>
      <w:r w:rsidR="00D04048" w:rsidRPr="003E1031">
        <w:rPr>
          <w:b/>
          <w:color w:val="4F6228" w:themeColor="accent3" w:themeShade="80"/>
          <w:sz w:val="24"/>
          <w:szCs w:val="24"/>
        </w:rPr>
        <w:t>7</w:t>
      </w:r>
      <w:r w:rsidRPr="003E1031">
        <w:rPr>
          <w:b/>
          <w:color w:val="4F6228" w:themeColor="accent3" w:themeShade="80"/>
          <w:sz w:val="24"/>
          <w:szCs w:val="24"/>
        </w:rPr>
        <w:t>,</w:t>
      </w:r>
      <w:r w:rsidR="00D04048" w:rsidRPr="003E1031">
        <w:rPr>
          <w:b/>
          <w:color w:val="4F6228" w:themeColor="accent3" w:themeShade="80"/>
          <w:sz w:val="24"/>
          <w:szCs w:val="24"/>
        </w:rPr>
        <w:t>69</w:t>
      </w:r>
      <w:r w:rsidRPr="003E1031">
        <w:rPr>
          <w:b/>
          <w:color w:val="4F6228" w:themeColor="accent3" w:themeShade="80"/>
          <w:sz w:val="24"/>
          <w:szCs w:val="24"/>
        </w:rPr>
        <w:t>% del total).</w:t>
      </w:r>
    </w:p>
    <w:p w:rsidR="00C639F2" w:rsidRPr="001D3810" w:rsidRDefault="00C639F2" w:rsidP="00AE1384">
      <w:pPr>
        <w:spacing w:after="0" w:line="240" w:lineRule="auto"/>
        <w:jc w:val="both"/>
        <w:rPr>
          <w:sz w:val="24"/>
          <w:szCs w:val="24"/>
        </w:rPr>
      </w:pPr>
    </w:p>
    <w:p w:rsidR="00E256C8" w:rsidRPr="003E1031" w:rsidRDefault="00E256C8" w:rsidP="00E256C8">
      <w:pPr>
        <w:spacing w:after="0" w:line="240" w:lineRule="auto"/>
        <w:jc w:val="center"/>
        <w:rPr>
          <w:b/>
          <w:i/>
          <w:color w:val="4F6228" w:themeColor="accent3" w:themeShade="80"/>
          <w:sz w:val="28"/>
          <w:szCs w:val="28"/>
        </w:rPr>
      </w:pPr>
      <w:r w:rsidRPr="003E1031">
        <w:rPr>
          <w:b/>
          <w:i/>
          <w:color w:val="4F6228" w:themeColor="accent3" w:themeShade="80"/>
          <w:sz w:val="20"/>
          <w:szCs w:val="28"/>
        </w:rPr>
        <w:t>C5–</w:t>
      </w:r>
      <w:r w:rsidRPr="003E1031">
        <w:rPr>
          <w:b/>
          <w:i/>
          <w:color w:val="4F6228" w:themeColor="accent3" w:themeShade="80"/>
          <w:sz w:val="28"/>
          <w:szCs w:val="28"/>
        </w:rPr>
        <w:t>Tasas de paro de menores de 25 años y general en la UE</w:t>
      </w:r>
    </w:p>
    <w:p w:rsidR="00E256C8" w:rsidRPr="001D3810" w:rsidRDefault="00E256C8" w:rsidP="00E256C8">
      <w:pPr>
        <w:spacing w:after="0" w:line="240" w:lineRule="auto"/>
        <w:jc w:val="center"/>
        <w:rPr>
          <w:sz w:val="24"/>
          <w:szCs w:val="24"/>
        </w:rPr>
      </w:pPr>
      <w:r w:rsidRPr="001D3810">
        <w:rPr>
          <w:noProof/>
          <w:lang w:eastAsia="es-ES"/>
        </w:rPr>
        <w:drawing>
          <wp:inline distT="0" distB="0" distL="0" distR="0">
            <wp:extent cx="3876040" cy="5358805"/>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76969" cy="5360090"/>
                    </a:xfrm>
                    <a:prstGeom prst="rect">
                      <a:avLst/>
                    </a:prstGeom>
                    <a:noFill/>
                    <a:ln>
                      <a:noFill/>
                    </a:ln>
                  </pic:spPr>
                </pic:pic>
              </a:graphicData>
            </a:graphic>
          </wp:inline>
        </w:drawing>
      </w:r>
    </w:p>
    <w:tbl>
      <w:tblPr>
        <w:tblStyle w:val="Tablaconcuadrcula"/>
        <w:tblW w:w="0" w:type="auto"/>
        <w:tblInd w:w="1384" w:type="dxa"/>
        <w:tblLook w:val="04A0"/>
      </w:tblPr>
      <w:tblGrid>
        <w:gridCol w:w="1276"/>
        <w:gridCol w:w="1276"/>
        <w:gridCol w:w="1134"/>
        <w:gridCol w:w="1134"/>
        <w:gridCol w:w="1275"/>
      </w:tblGrid>
      <w:tr w:rsidR="00D04048" w:rsidRPr="001D3810" w:rsidTr="00D44AE2">
        <w:tc>
          <w:tcPr>
            <w:tcW w:w="1276" w:type="dxa"/>
          </w:tcPr>
          <w:p w:rsidR="00D04048" w:rsidRPr="001D3810" w:rsidRDefault="00D44AE2" w:rsidP="00E256C8">
            <w:pPr>
              <w:jc w:val="both"/>
              <w:rPr>
                <w:b/>
                <w:sz w:val="18"/>
                <w:szCs w:val="18"/>
              </w:rPr>
            </w:pPr>
            <w:r w:rsidRPr="001D3810">
              <w:rPr>
                <w:b/>
                <w:sz w:val="18"/>
                <w:szCs w:val="18"/>
              </w:rPr>
              <w:t>Andalucía</w:t>
            </w:r>
          </w:p>
        </w:tc>
        <w:tc>
          <w:tcPr>
            <w:tcW w:w="1276" w:type="dxa"/>
          </w:tcPr>
          <w:p w:rsidR="00D04048" w:rsidRPr="001D3810" w:rsidRDefault="00D44AE2" w:rsidP="00D44AE2">
            <w:pPr>
              <w:jc w:val="right"/>
              <w:rPr>
                <w:b/>
                <w:sz w:val="18"/>
                <w:szCs w:val="18"/>
              </w:rPr>
            </w:pPr>
            <w:r w:rsidRPr="001D3810">
              <w:rPr>
                <w:b/>
                <w:sz w:val="18"/>
                <w:szCs w:val="18"/>
              </w:rPr>
              <w:t>47,88</w:t>
            </w:r>
          </w:p>
        </w:tc>
        <w:tc>
          <w:tcPr>
            <w:tcW w:w="1134" w:type="dxa"/>
          </w:tcPr>
          <w:p w:rsidR="00D04048" w:rsidRPr="001D3810" w:rsidRDefault="00D44AE2" w:rsidP="00D44AE2">
            <w:pPr>
              <w:jc w:val="right"/>
              <w:rPr>
                <w:b/>
                <w:sz w:val="18"/>
                <w:szCs w:val="18"/>
              </w:rPr>
            </w:pPr>
            <w:r w:rsidRPr="001D3810">
              <w:rPr>
                <w:b/>
                <w:sz w:val="18"/>
                <w:szCs w:val="18"/>
              </w:rPr>
              <w:t>24,43</w:t>
            </w:r>
          </w:p>
        </w:tc>
        <w:tc>
          <w:tcPr>
            <w:tcW w:w="1134" w:type="dxa"/>
          </w:tcPr>
          <w:p w:rsidR="00D04048" w:rsidRPr="001D3810" w:rsidRDefault="00D44AE2" w:rsidP="00D44AE2">
            <w:pPr>
              <w:jc w:val="right"/>
              <w:rPr>
                <w:b/>
                <w:sz w:val="18"/>
                <w:szCs w:val="18"/>
              </w:rPr>
            </w:pPr>
            <w:r w:rsidRPr="001D3810">
              <w:rPr>
                <w:b/>
                <w:sz w:val="18"/>
                <w:szCs w:val="18"/>
              </w:rPr>
              <w:t>23,45</w:t>
            </w:r>
          </w:p>
        </w:tc>
        <w:tc>
          <w:tcPr>
            <w:tcW w:w="1275" w:type="dxa"/>
          </w:tcPr>
          <w:p w:rsidR="00D04048" w:rsidRPr="001D3810" w:rsidRDefault="00D44AE2" w:rsidP="00D44AE2">
            <w:pPr>
              <w:jc w:val="right"/>
              <w:rPr>
                <w:b/>
                <w:sz w:val="18"/>
                <w:szCs w:val="18"/>
              </w:rPr>
            </w:pPr>
            <w:r w:rsidRPr="001D3810">
              <w:rPr>
                <w:b/>
                <w:sz w:val="18"/>
                <w:szCs w:val="18"/>
              </w:rPr>
              <w:t>95,99</w:t>
            </w:r>
          </w:p>
        </w:tc>
      </w:tr>
    </w:tbl>
    <w:p w:rsidR="00E256C8" w:rsidRPr="003E1031" w:rsidRDefault="00E256C8" w:rsidP="00E256C8">
      <w:pPr>
        <w:spacing w:after="0" w:line="240" w:lineRule="auto"/>
        <w:ind w:firstLine="1276"/>
        <w:jc w:val="both"/>
        <w:rPr>
          <w:i/>
          <w:color w:val="4F6228" w:themeColor="accent3" w:themeShade="80"/>
          <w:sz w:val="18"/>
          <w:szCs w:val="18"/>
        </w:rPr>
      </w:pPr>
      <w:r w:rsidRPr="003E1031">
        <w:rPr>
          <w:i/>
          <w:color w:val="4F6228" w:themeColor="accent3" w:themeShade="80"/>
          <w:sz w:val="18"/>
          <w:szCs w:val="18"/>
        </w:rPr>
        <w:t>Fuente: Eurostat</w:t>
      </w:r>
      <w:r w:rsidR="00D44AE2" w:rsidRPr="003E1031">
        <w:rPr>
          <w:i/>
          <w:color w:val="4F6228" w:themeColor="accent3" w:themeShade="80"/>
          <w:sz w:val="18"/>
          <w:szCs w:val="18"/>
        </w:rPr>
        <w:t xml:space="preserve"> </w:t>
      </w:r>
      <w:r w:rsidR="00D44AE2" w:rsidRPr="003E1031">
        <w:rPr>
          <w:b/>
          <w:i/>
          <w:color w:val="4F6228" w:themeColor="accent3" w:themeShade="80"/>
          <w:szCs w:val="24"/>
        </w:rPr>
        <w:t>Porcentaje sobre la población activa de cada grupo de edad</w:t>
      </w:r>
    </w:p>
    <w:p w:rsidR="00E256C8" w:rsidRPr="001D3810" w:rsidRDefault="00E256C8" w:rsidP="00AE1384">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 xml:space="preserve">Hay que hacer mención al elevado desempleo de los jóvenes. </w:t>
      </w:r>
      <w:r w:rsidRPr="003E1031">
        <w:rPr>
          <w:b/>
          <w:color w:val="4F6228" w:themeColor="accent3" w:themeShade="80"/>
          <w:sz w:val="24"/>
          <w:szCs w:val="24"/>
        </w:rPr>
        <w:t xml:space="preserve">La tasa de paro de los menores de 20 años es del </w:t>
      </w:r>
      <w:r w:rsidR="00D44AE2" w:rsidRPr="003E1031">
        <w:rPr>
          <w:b/>
          <w:color w:val="4F6228" w:themeColor="accent3" w:themeShade="80"/>
          <w:sz w:val="24"/>
          <w:szCs w:val="24"/>
        </w:rPr>
        <w:t>66</w:t>
      </w:r>
      <w:r w:rsidRPr="003E1031">
        <w:rPr>
          <w:b/>
          <w:color w:val="4F6228" w:themeColor="accent3" w:themeShade="80"/>
          <w:sz w:val="24"/>
          <w:szCs w:val="24"/>
        </w:rPr>
        <w:t>,</w:t>
      </w:r>
      <w:r w:rsidR="00D44AE2" w:rsidRPr="003E1031">
        <w:rPr>
          <w:b/>
          <w:color w:val="4F6228" w:themeColor="accent3" w:themeShade="80"/>
          <w:sz w:val="24"/>
          <w:szCs w:val="24"/>
        </w:rPr>
        <w:t>36</w:t>
      </w:r>
      <w:r w:rsidRPr="003E1031">
        <w:rPr>
          <w:b/>
          <w:color w:val="4F6228" w:themeColor="accent3" w:themeShade="80"/>
          <w:sz w:val="24"/>
          <w:szCs w:val="24"/>
        </w:rPr>
        <w:t xml:space="preserve">%, y la de quienes tienen de 20 a 24 años es del </w:t>
      </w:r>
      <w:r w:rsidR="00D44AE2" w:rsidRPr="003E1031">
        <w:rPr>
          <w:b/>
          <w:color w:val="4F6228" w:themeColor="accent3" w:themeShade="80"/>
          <w:sz w:val="24"/>
          <w:szCs w:val="24"/>
        </w:rPr>
        <w:t>4</w:t>
      </w:r>
      <w:r w:rsidRPr="003E1031">
        <w:rPr>
          <w:b/>
          <w:color w:val="4F6228" w:themeColor="accent3" w:themeShade="80"/>
          <w:sz w:val="24"/>
          <w:szCs w:val="24"/>
        </w:rPr>
        <w:t>3,7</w:t>
      </w:r>
      <w:r w:rsidR="00D44AE2" w:rsidRPr="003E1031">
        <w:rPr>
          <w:b/>
          <w:color w:val="4F6228" w:themeColor="accent3" w:themeShade="80"/>
          <w:sz w:val="24"/>
          <w:szCs w:val="24"/>
        </w:rPr>
        <w:t>3</w:t>
      </w:r>
      <w:r w:rsidRPr="003E1031">
        <w:rPr>
          <w:b/>
          <w:color w:val="4F6228" w:themeColor="accent3" w:themeShade="80"/>
          <w:sz w:val="24"/>
          <w:szCs w:val="24"/>
        </w:rPr>
        <w:t>%</w:t>
      </w:r>
      <w:r w:rsidR="00D44AE2" w:rsidRPr="001D3810">
        <w:rPr>
          <w:sz w:val="24"/>
          <w:szCs w:val="24"/>
        </w:rPr>
        <w:t xml:space="preserve"> </w:t>
      </w:r>
      <w:r w:rsidRPr="001D3810">
        <w:rPr>
          <w:sz w:val="24"/>
          <w:szCs w:val="24"/>
        </w:rPr>
        <w:t>(datos EPA del cuarto trimestre de 2017)</w:t>
      </w:r>
      <w:r w:rsidRPr="001D3810">
        <w:rPr>
          <w:b/>
          <w:sz w:val="24"/>
          <w:szCs w:val="24"/>
        </w:rPr>
        <w:t>.</w:t>
      </w:r>
      <w:r w:rsidRPr="001D3810">
        <w:rPr>
          <w:sz w:val="24"/>
          <w:szCs w:val="24"/>
        </w:rPr>
        <w:t xml:space="preserve"> Con datos de Eurostat (tercer trimestre), </w:t>
      </w:r>
      <w:r w:rsidRPr="003E1031">
        <w:rPr>
          <w:b/>
          <w:color w:val="4F6228" w:themeColor="accent3" w:themeShade="80"/>
          <w:sz w:val="24"/>
          <w:szCs w:val="24"/>
        </w:rPr>
        <w:t>la tasa de paro de</w:t>
      </w:r>
      <w:r w:rsidR="00D44AE2" w:rsidRPr="003E1031">
        <w:rPr>
          <w:b/>
          <w:color w:val="4F6228" w:themeColor="accent3" w:themeShade="80"/>
          <w:sz w:val="24"/>
          <w:szCs w:val="24"/>
        </w:rPr>
        <w:t xml:space="preserve"> los menores de 25 años es del 47,88</w:t>
      </w:r>
      <w:r w:rsidRPr="003E1031">
        <w:rPr>
          <w:b/>
          <w:color w:val="4F6228" w:themeColor="accent3" w:themeShade="80"/>
          <w:sz w:val="24"/>
          <w:szCs w:val="24"/>
        </w:rPr>
        <w:t>%</w:t>
      </w:r>
      <w:r w:rsidRPr="003E1031">
        <w:rPr>
          <w:color w:val="4F6228" w:themeColor="accent3" w:themeShade="80"/>
          <w:sz w:val="24"/>
          <w:szCs w:val="24"/>
        </w:rPr>
        <w:t xml:space="preserve">, </w:t>
      </w:r>
      <w:r w:rsidRPr="001D3810">
        <w:rPr>
          <w:sz w:val="24"/>
          <w:szCs w:val="24"/>
        </w:rPr>
        <w:t xml:space="preserve">la más elevada de toda la Unión Europea tras la de Grecia. Paro elevado y una exacerbada precariedad en el empleo dibujan un panorama laboral para nuestros jóvenes inaceptable para una economía desarrollada, y que supone una condena para la capacidad de desarrollo presente y futura del país. </w:t>
      </w:r>
    </w:p>
    <w:p w:rsidR="00C639F2" w:rsidRPr="001D3810" w:rsidRDefault="00C639F2" w:rsidP="00AE1384">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 xml:space="preserve">Con todo, es necesario tener en cuenta que la desmesurada tasa de paro de los jóvenes </w:t>
      </w:r>
      <w:r w:rsidR="00D44AE2" w:rsidRPr="001D3810">
        <w:rPr>
          <w:sz w:val="24"/>
          <w:szCs w:val="24"/>
        </w:rPr>
        <w:t>andaluces</w:t>
      </w:r>
      <w:r w:rsidRPr="001D3810">
        <w:rPr>
          <w:sz w:val="24"/>
          <w:szCs w:val="24"/>
        </w:rPr>
        <w:t xml:space="preserve"> no es sino el reflejo de un desempleo estructuralmente más elevado que en Europa para todas las categorías de población. El hecho de que la tasa de paro juvenil sea notoriamente más elevada que la tasa general es algo habitual en todos los países de nuestro entorno, y responde a la mayor dificultad teórica de encontrar un empleo con reducida o nula experiencia profesional. Así, el país de la UE que refleja una menor discrepancia es Eslovenia, en el que la tasa de paro de los jóvenes es un 69% superior a la general. La mayor diferencia se da en Rumanía, con un 245%. En España esta diferencia es del 118% (36% frente a 16,5%), en el entorno de la media de la zona euro (108%) y de la UE (121,3%). Lo realmente llamativo es el elevado nivel de las tasas en el caso español, que refleja un problema de funcionamiento del mercado laboral que no solo tiene que ver con los trabajadores y </w:t>
      </w:r>
      <w:r w:rsidR="00D44AE2" w:rsidRPr="001D3810">
        <w:rPr>
          <w:sz w:val="24"/>
          <w:szCs w:val="24"/>
        </w:rPr>
        <w:t>trabajadora</w:t>
      </w:r>
      <w:r w:rsidRPr="001D3810">
        <w:rPr>
          <w:sz w:val="24"/>
          <w:szCs w:val="24"/>
        </w:rPr>
        <w:t>s de edades más tempranas, sino con todos.</w:t>
      </w:r>
    </w:p>
    <w:p w:rsidR="00C639F2" w:rsidRPr="001D3810" w:rsidRDefault="00C639F2" w:rsidP="00C639F2">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 xml:space="preserve">Por otro lado, la elevada temporalidad y precariedad del empleo de los jóvenes hace que sea muy volátil y especialmente sensible a las fases del ciclo económico. Por eso, del mismo modo que en la anterior etapa recesiva se destruyó mucho empleo en estos grupos de edad y el desempleo creció de manera muy acusada, ahora en la nueva fase de expansión también aumenta mucho su ocupación y se reduce el desempleo con similar intensidad. </w:t>
      </w:r>
    </w:p>
    <w:p w:rsidR="00C639F2" w:rsidRPr="001D3810" w:rsidRDefault="00C639F2" w:rsidP="00C639F2">
      <w:pPr>
        <w:spacing w:after="0" w:line="240" w:lineRule="auto"/>
        <w:jc w:val="both"/>
        <w:rPr>
          <w:sz w:val="24"/>
          <w:szCs w:val="24"/>
        </w:rPr>
      </w:pPr>
    </w:p>
    <w:p w:rsidR="00C639F2" w:rsidRPr="001D3810" w:rsidRDefault="00C639F2" w:rsidP="00C639F2">
      <w:pPr>
        <w:spacing w:after="0" w:line="240" w:lineRule="auto"/>
        <w:jc w:val="both"/>
        <w:rPr>
          <w:sz w:val="24"/>
          <w:szCs w:val="24"/>
        </w:rPr>
      </w:pPr>
      <w:r w:rsidRPr="001D3810">
        <w:rPr>
          <w:sz w:val="24"/>
          <w:szCs w:val="24"/>
        </w:rPr>
        <w:t xml:space="preserve">Así, si la tasa de paro general ha caído </w:t>
      </w:r>
      <w:r w:rsidR="00D44AE2" w:rsidRPr="001D3810">
        <w:rPr>
          <w:sz w:val="24"/>
          <w:szCs w:val="24"/>
        </w:rPr>
        <w:t>10</w:t>
      </w:r>
      <w:r w:rsidRPr="001D3810">
        <w:rPr>
          <w:sz w:val="24"/>
          <w:szCs w:val="24"/>
        </w:rPr>
        <w:t>,</w:t>
      </w:r>
      <w:r w:rsidR="00D44AE2" w:rsidRPr="001D3810">
        <w:rPr>
          <w:sz w:val="24"/>
          <w:szCs w:val="24"/>
        </w:rPr>
        <w:t>5</w:t>
      </w:r>
      <w:r w:rsidRPr="001D3810">
        <w:rPr>
          <w:sz w:val="24"/>
          <w:szCs w:val="24"/>
        </w:rPr>
        <w:t xml:space="preserve"> puntos porcentuales desde el primer trimestre de 2014, la de los menores de 25 años lo ha hecho en </w:t>
      </w:r>
      <w:r w:rsidR="00D44AE2" w:rsidRPr="001D3810">
        <w:rPr>
          <w:sz w:val="24"/>
          <w:szCs w:val="24"/>
        </w:rPr>
        <w:t>15</w:t>
      </w:r>
      <w:r w:rsidRPr="001D3810">
        <w:rPr>
          <w:sz w:val="24"/>
          <w:szCs w:val="24"/>
        </w:rPr>
        <w:t xml:space="preserve"> puntos, con diferencia el grupo que más ha mejorado su posición relativa. </w:t>
      </w:r>
    </w:p>
    <w:p w:rsidR="00C639F2" w:rsidRPr="001D3810" w:rsidRDefault="00C639F2" w:rsidP="00C639F2">
      <w:pPr>
        <w:spacing w:after="0" w:line="240" w:lineRule="auto"/>
        <w:jc w:val="both"/>
        <w:rPr>
          <w:sz w:val="24"/>
          <w:szCs w:val="24"/>
        </w:rPr>
      </w:pPr>
    </w:p>
    <w:p w:rsidR="00F10AC5" w:rsidRPr="001D3810" w:rsidRDefault="00F10AC5" w:rsidP="00F10AC5">
      <w:pPr>
        <w:spacing w:after="0" w:line="240" w:lineRule="auto"/>
        <w:jc w:val="center"/>
        <w:rPr>
          <w:sz w:val="24"/>
          <w:szCs w:val="24"/>
        </w:rPr>
      </w:pPr>
      <w:r w:rsidRPr="003E1031">
        <w:rPr>
          <w:b/>
          <w:i/>
          <w:color w:val="4F6228" w:themeColor="accent3" w:themeShade="80"/>
          <w:sz w:val="20"/>
          <w:szCs w:val="28"/>
        </w:rPr>
        <w:t>G1</w:t>
      </w:r>
      <w:r w:rsidR="000B6DA5" w:rsidRPr="003E1031">
        <w:rPr>
          <w:b/>
          <w:i/>
          <w:color w:val="4F6228" w:themeColor="accent3" w:themeShade="80"/>
          <w:sz w:val="20"/>
          <w:szCs w:val="28"/>
        </w:rPr>
        <w:t>4</w:t>
      </w:r>
      <w:r w:rsidRPr="003E1031">
        <w:rPr>
          <w:b/>
          <w:i/>
          <w:color w:val="4F6228" w:themeColor="accent3" w:themeShade="80"/>
          <w:sz w:val="20"/>
          <w:szCs w:val="28"/>
        </w:rPr>
        <w:t>–</w:t>
      </w:r>
      <w:r w:rsidRPr="003E1031">
        <w:rPr>
          <w:b/>
          <w:i/>
          <w:color w:val="4F6228" w:themeColor="accent3" w:themeShade="80"/>
          <w:sz w:val="28"/>
          <w:szCs w:val="28"/>
        </w:rPr>
        <w:t>Hogares con todos sus miembros en situación de desempleo</w:t>
      </w:r>
      <w:r w:rsidR="00EB296A" w:rsidRPr="003E1031">
        <w:rPr>
          <w:b/>
          <w:i/>
          <w:color w:val="4F6228" w:themeColor="accent3" w:themeShade="80"/>
          <w:sz w:val="28"/>
          <w:szCs w:val="28"/>
        </w:rPr>
        <w:t xml:space="preserve"> </w:t>
      </w:r>
      <w:r w:rsidRPr="003E1031">
        <w:rPr>
          <w:b/>
          <w:i/>
          <w:color w:val="4F6228" w:themeColor="accent3" w:themeShade="80"/>
          <w:sz w:val="24"/>
          <w:szCs w:val="28"/>
        </w:rPr>
        <w:t>En miles</w:t>
      </w:r>
      <w:r w:rsidR="00EB296A" w:rsidRPr="003E1031">
        <w:rPr>
          <w:b/>
          <w:i/>
          <w:color w:val="4F6228" w:themeColor="accent3" w:themeShade="80"/>
          <w:sz w:val="24"/>
          <w:szCs w:val="28"/>
        </w:rPr>
        <w:t>.</w:t>
      </w:r>
      <w:r w:rsidR="00EB296A" w:rsidRPr="001D3810">
        <w:rPr>
          <w:b/>
          <w:i/>
          <w:sz w:val="24"/>
          <w:szCs w:val="28"/>
        </w:rPr>
        <w:t xml:space="preserve"> </w:t>
      </w:r>
      <w:r w:rsidR="00D44AE2" w:rsidRPr="001D3810">
        <w:rPr>
          <w:noProof/>
          <w:sz w:val="24"/>
          <w:szCs w:val="24"/>
          <w:lang w:eastAsia="es-ES"/>
        </w:rPr>
        <w:drawing>
          <wp:inline distT="0" distB="0" distL="0" distR="0">
            <wp:extent cx="5400040" cy="3521207"/>
            <wp:effectExtent l="19050" t="0" r="10160" b="3043"/>
            <wp:docPr id="2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44AE2" w:rsidRPr="003E1031" w:rsidRDefault="00F10AC5" w:rsidP="00D44AE2">
      <w:pPr>
        <w:spacing w:after="0" w:line="240" w:lineRule="auto"/>
        <w:rPr>
          <w:b/>
          <w:i/>
          <w:color w:val="4F6228" w:themeColor="accent3" w:themeShade="80"/>
          <w:sz w:val="24"/>
          <w:szCs w:val="28"/>
        </w:rPr>
      </w:pPr>
      <w:r w:rsidRPr="003E1031">
        <w:rPr>
          <w:rFonts w:eastAsiaTheme="minorEastAsia"/>
          <w:bCs/>
          <w:i/>
          <w:iCs/>
          <w:color w:val="4F6228" w:themeColor="accent3" w:themeShade="80"/>
          <w:kern w:val="24"/>
          <w:sz w:val="20"/>
          <w:szCs w:val="20"/>
        </w:rPr>
        <w:t>Fuente: EPA. INE</w:t>
      </w:r>
      <w:r w:rsidR="00D44AE2" w:rsidRPr="003E1031">
        <w:rPr>
          <w:b/>
          <w:i/>
          <w:color w:val="4F6228" w:themeColor="accent3" w:themeShade="80"/>
          <w:sz w:val="24"/>
          <w:szCs w:val="28"/>
        </w:rPr>
        <w:t xml:space="preserve"> Cuartos trimestres de cada año</w:t>
      </w:r>
    </w:p>
    <w:p w:rsidR="00F10AC5" w:rsidRPr="001D3810" w:rsidRDefault="00F10AC5" w:rsidP="00F10AC5">
      <w:pPr>
        <w:pStyle w:val="NormalWeb"/>
        <w:spacing w:before="0" w:beforeAutospacing="0" w:after="0" w:afterAutospacing="0"/>
        <w:ind w:firstLine="709"/>
        <w:jc w:val="both"/>
        <w:rPr>
          <w:rFonts w:asciiTheme="minorHAnsi" w:hAnsiTheme="minorHAnsi"/>
          <w:sz w:val="20"/>
          <w:szCs w:val="20"/>
        </w:rPr>
      </w:pPr>
    </w:p>
    <w:p w:rsidR="002A1884" w:rsidRPr="001D3810" w:rsidRDefault="00D44AE2" w:rsidP="002A1884">
      <w:pPr>
        <w:spacing w:after="0" w:line="240" w:lineRule="auto"/>
        <w:jc w:val="both"/>
        <w:rPr>
          <w:sz w:val="24"/>
          <w:szCs w:val="24"/>
        </w:rPr>
      </w:pPr>
      <w:r w:rsidRPr="001D3810">
        <w:rPr>
          <w:sz w:val="24"/>
          <w:szCs w:val="24"/>
        </w:rPr>
        <w:t>Un</w:t>
      </w:r>
      <w:r w:rsidR="002A1884" w:rsidRPr="001D3810">
        <w:rPr>
          <w:sz w:val="24"/>
          <w:szCs w:val="24"/>
        </w:rPr>
        <w:t xml:space="preserve"> último dato</w:t>
      </w:r>
      <w:r w:rsidRPr="001D3810">
        <w:rPr>
          <w:sz w:val="24"/>
          <w:szCs w:val="24"/>
        </w:rPr>
        <w:t xml:space="preserve"> e</w:t>
      </w:r>
      <w:r w:rsidR="002A1884" w:rsidRPr="001D3810">
        <w:rPr>
          <w:sz w:val="24"/>
          <w:szCs w:val="24"/>
        </w:rPr>
        <w:t>s</w:t>
      </w:r>
      <w:r w:rsidRPr="001D3810">
        <w:rPr>
          <w:sz w:val="24"/>
          <w:szCs w:val="24"/>
        </w:rPr>
        <w:t xml:space="preserve"> especialmente</w:t>
      </w:r>
      <w:r w:rsidR="002A1884" w:rsidRPr="001D3810">
        <w:rPr>
          <w:sz w:val="24"/>
          <w:szCs w:val="24"/>
        </w:rPr>
        <w:t xml:space="preserve"> relevante para ilustrar la todavía muy elevada incidencia del desempleo en las familias. Aún hay </w:t>
      </w:r>
      <w:r w:rsidRPr="003E1031">
        <w:rPr>
          <w:b/>
          <w:color w:val="4F6228" w:themeColor="accent3" w:themeShade="80"/>
          <w:sz w:val="24"/>
          <w:szCs w:val="24"/>
        </w:rPr>
        <w:t>3</w:t>
      </w:r>
      <w:r w:rsidR="002A1884" w:rsidRPr="003E1031">
        <w:rPr>
          <w:b/>
          <w:color w:val="4F6228" w:themeColor="accent3" w:themeShade="80"/>
          <w:sz w:val="24"/>
          <w:szCs w:val="24"/>
        </w:rPr>
        <w:t>1</w:t>
      </w:r>
      <w:r w:rsidRPr="003E1031">
        <w:rPr>
          <w:b/>
          <w:color w:val="4F6228" w:themeColor="accent3" w:themeShade="80"/>
          <w:sz w:val="24"/>
          <w:szCs w:val="24"/>
        </w:rPr>
        <w:t>2</w:t>
      </w:r>
      <w:r w:rsidR="002A1884" w:rsidRPr="003E1031">
        <w:rPr>
          <w:b/>
          <w:color w:val="4F6228" w:themeColor="accent3" w:themeShade="80"/>
          <w:sz w:val="24"/>
          <w:szCs w:val="24"/>
        </w:rPr>
        <w:t>.</w:t>
      </w:r>
      <w:r w:rsidRPr="003E1031">
        <w:rPr>
          <w:b/>
          <w:color w:val="4F6228" w:themeColor="accent3" w:themeShade="80"/>
          <w:sz w:val="24"/>
          <w:szCs w:val="24"/>
        </w:rPr>
        <w:t>1</w:t>
      </w:r>
      <w:r w:rsidR="002A1884" w:rsidRPr="003E1031">
        <w:rPr>
          <w:b/>
          <w:color w:val="4F6228" w:themeColor="accent3" w:themeShade="80"/>
          <w:sz w:val="24"/>
          <w:szCs w:val="24"/>
        </w:rPr>
        <w:t xml:space="preserve">00 hogares con todos sus miembros en situación de desempleo </w:t>
      </w:r>
      <w:r w:rsidR="002A1884" w:rsidRPr="001D3810">
        <w:rPr>
          <w:sz w:val="24"/>
          <w:szCs w:val="24"/>
        </w:rPr>
        <w:t xml:space="preserve">y aunque </w:t>
      </w:r>
      <w:r w:rsidRPr="001D3810">
        <w:rPr>
          <w:sz w:val="24"/>
          <w:szCs w:val="24"/>
        </w:rPr>
        <w:t>se han reducido desde 2013</w:t>
      </w:r>
      <w:r w:rsidR="002A1884" w:rsidRPr="001D3810">
        <w:rPr>
          <w:sz w:val="24"/>
          <w:szCs w:val="24"/>
        </w:rPr>
        <w:t xml:space="preserve"> por la creación de empleo, </w:t>
      </w:r>
      <w:r w:rsidR="002A1884" w:rsidRPr="003E1031">
        <w:rPr>
          <w:b/>
          <w:color w:val="4F6228" w:themeColor="accent3" w:themeShade="80"/>
          <w:sz w:val="24"/>
          <w:szCs w:val="24"/>
        </w:rPr>
        <w:t xml:space="preserve">siguen siendo </w:t>
      </w:r>
      <w:r w:rsidRPr="003E1031">
        <w:rPr>
          <w:b/>
          <w:color w:val="4F6228" w:themeColor="accent3" w:themeShade="80"/>
          <w:sz w:val="24"/>
          <w:szCs w:val="24"/>
        </w:rPr>
        <w:t>172.900</w:t>
      </w:r>
      <w:r w:rsidR="002A1884" w:rsidRPr="003E1031">
        <w:rPr>
          <w:b/>
          <w:color w:val="4F6228" w:themeColor="accent3" w:themeShade="80"/>
          <w:sz w:val="24"/>
          <w:szCs w:val="24"/>
        </w:rPr>
        <w:t xml:space="preserve"> más de los que había en 2007</w:t>
      </w:r>
      <w:r w:rsidR="002A1884" w:rsidRPr="001D3810">
        <w:rPr>
          <w:b/>
          <w:sz w:val="24"/>
          <w:szCs w:val="24"/>
        </w:rPr>
        <w:t>,</w:t>
      </w:r>
      <w:r w:rsidR="002A1884" w:rsidRPr="001D3810">
        <w:rPr>
          <w:sz w:val="24"/>
          <w:szCs w:val="24"/>
        </w:rPr>
        <w:t xml:space="preserve"> antes del impacto de la crisis. Resulta ilustrativo comprobar cómo la implementación de las políticas de austeridad de 2010 a 2013, lejos de ayudar a reconducir el problema, lo agravaron </w:t>
      </w:r>
      <w:r w:rsidR="002A1884" w:rsidRPr="001D3810">
        <w:rPr>
          <w:i/>
          <w:sz w:val="24"/>
          <w:szCs w:val="24"/>
        </w:rPr>
        <w:t>(Gráfico 14).</w:t>
      </w:r>
    </w:p>
    <w:p w:rsidR="002A1884" w:rsidRPr="001D3810" w:rsidRDefault="002A1884" w:rsidP="002A1884">
      <w:pPr>
        <w:spacing w:after="0" w:line="240" w:lineRule="auto"/>
        <w:jc w:val="both"/>
        <w:rPr>
          <w:sz w:val="24"/>
          <w:szCs w:val="24"/>
        </w:rPr>
      </w:pPr>
    </w:p>
    <w:p w:rsidR="002053C7" w:rsidRPr="003E1031" w:rsidRDefault="002053C7" w:rsidP="002053C7">
      <w:pPr>
        <w:spacing w:after="0" w:line="240" w:lineRule="auto"/>
        <w:jc w:val="both"/>
        <w:rPr>
          <w:color w:val="4F6228" w:themeColor="accent3" w:themeShade="80"/>
          <w:sz w:val="24"/>
          <w:szCs w:val="24"/>
        </w:rPr>
      </w:pPr>
      <w:r w:rsidRPr="001D3810">
        <w:rPr>
          <w:sz w:val="24"/>
          <w:szCs w:val="24"/>
        </w:rPr>
        <w:t xml:space="preserve">Pero, a pesar de esta alarmante evolución del desempleo, </w:t>
      </w:r>
      <w:r w:rsidRPr="003E1031">
        <w:rPr>
          <w:b/>
          <w:color w:val="4F6228" w:themeColor="accent3" w:themeShade="80"/>
          <w:sz w:val="24"/>
          <w:szCs w:val="24"/>
        </w:rPr>
        <w:t>la dotación presupuestaria para las políticas activas de empleo ha caído de 2010 a 2017 en 2.255 millones de euros</w:t>
      </w:r>
      <w:r w:rsidRPr="003E1031">
        <w:rPr>
          <w:color w:val="4F6228" w:themeColor="accent3" w:themeShade="80"/>
          <w:sz w:val="24"/>
          <w:szCs w:val="24"/>
        </w:rPr>
        <w:t xml:space="preserve">. </w:t>
      </w:r>
    </w:p>
    <w:p w:rsidR="002053C7" w:rsidRPr="001D3810" w:rsidRDefault="002053C7" w:rsidP="002053C7">
      <w:pPr>
        <w:spacing w:after="0" w:line="240" w:lineRule="auto"/>
        <w:jc w:val="both"/>
        <w:rPr>
          <w:sz w:val="24"/>
          <w:szCs w:val="24"/>
        </w:rPr>
      </w:pPr>
    </w:p>
    <w:p w:rsidR="002053C7" w:rsidRPr="001D3810" w:rsidRDefault="002053C7" w:rsidP="002053C7">
      <w:pPr>
        <w:spacing w:after="0" w:line="240" w:lineRule="auto"/>
        <w:jc w:val="both"/>
        <w:rPr>
          <w:sz w:val="24"/>
          <w:szCs w:val="24"/>
        </w:rPr>
      </w:pPr>
      <w:r w:rsidRPr="001D3810">
        <w:rPr>
          <w:sz w:val="24"/>
          <w:szCs w:val="24"/>
        </w:rPr>
        <w:t>Para 2017 el presupuesto que aglutinaba las partidas de políticas activas de empleo, se dotó con 5.</w:t>
      </w:r>
      <w:r w:rsidR="00977E25" w:rsidRPr="001D3810">
        <w:rPr>
          <w:sz w:val="24"/>
          <w:szCs w:val="24"/>
        </w:rPr>
        <w:t>499</w:t>
      </w:r>
      <w:r w:rsidRPr="001D3810">
        <w:rPr>
          <w:sz w:val="24"/>
          <w:szCs w:val="24"/>
        </w:rPr>
        <w:t xml:space="preserve"> millones, un </w:t>
      </w:r>
      <w:r w:rsidR="00977E25" w:rsidRPr="001D3810">
        <w:rPr>
          <w:sz w:val="24"/>
          <w:szCs w:val="24"/>
        </w:rPr>
        <w:t>5,4</w:t>
      </w:r>
      <w:r w:rsidRPr="001D3810">
        <w:rPr>
          <w:sz w:val="24"/>
          <w:szCs w:val="24"/>
        </w:rPr>
        <w:t xml:space="preserve">% más que en 2016, pero </w:t>
      </w:r>
      <w:r w:rsidR="00356478" w:rsidRPr="001D3810">
        <w:rPr>
          <w:sz w:val="24"/>
          <w:szCs w:val="24"/>
        </w:rPr>
        <w:t>muy insuficiente para las necesidades en esta materia de nuestro país, cuyo mayor problema es la elevada tasa de paro estructural y de larga duración. Además, este incremento</w:t>
      </w:r>
      <w:r w:rsidRPr="001D3810">
        <w:rPr>
          <w:sz w:val="24"/>
          <w:szCs w:val="24"/>
        </w:rPr>
        <w:t xml:space="preserve"> no se destina </w:t>
      </w:r>
      <w:r w:rsidR="00356478" w:rsidRPr="001D3810">
        <w:rPr>
          <w:sz w:val="24"/>
          <w:szCs w:val="24"/>
        </w:rPr>
        <w:t xml:space="preserve">esencialmente </w:t>
      </w:r>
      <w:r w:rsidRPr="001D3810">
        <w:rPr>
          <w:sz w:val="24"/>
          <w:szCs w:val="24"/>
        </w:rPr>
        <w:t>a mejorar los servicios públicos de empleo</w:t>
      </w:r>
      <w:r w:rsidR="00356478" w:rsidRPr="001D3810">
        <w:rPr>
          <w:sz w:val="24"/>
          <w:szCs w:val="24"/>
        </w:rPr>
        <w:t xml:space="preserve">, sino que </w:t>
      </w:r>
      <w:r w:rsidRPr="001D3810">
        <w:rPr>
          <w:sz w:val="24"/>
          <w:szCs w:val="24"/>
        </w:rPr>
        <w:t xml:space="preserve">se concentra en el pago de las bonificaciones </w:t>
      </w:r>
      <w:r w:rsidR="00356478" w:rsidRPr="001D3810">
        <w:rPr>
          <w:sz w:val="24"/>
          <w:szCs w:val="24"/>
        </w:rPr>
        <w:t>a</w:t>
      </w:r>
      <w:r w:rsidRPr="001D3810">
        <w:rPr>
          <w:sz w:val="24"/>
          <w:szCs w:val="24"/>
        </w:rPr>
        <w:t xml:space="preserve"> las cotizaciones a la seguridad social por contratación</w:t>
      </w:r>
      <w:r w:rsidR="00356478" w:rsidRPr="001D3810">
        <w:rPr>
          <w:sz w:val="24"/>
          <w:szCs w:val="24"/>
        </w:rPr>
        <w:t>. Esta partida</w:t>
      </w:r>
      <w:r w:rsidRPr="001D3810">
        <w:rPr>
          <w:sz w:val="24"/>
          <w:szCs w:val="24"/>
        </w:rPr>
        <w:t xml:space="preserve"> crece un 11,6%, hasta 1.825 millones, lo que supone un tercio del conjunto de políticas activas, aumentando cada año su peso en el total. </w:t>
      </w:r>
    </w:p>
    <w:p w:rsidR="00F56753" w:rsidRPr="001D3810" w:rsidRDefault="00F56753" w:rsidP="00AE1384">
      <w:pPr>
        <w:spacing w:after="0" w:line="240" w:lineRule="auto"/>
        <w:jc w:val="both"/>
        <w:rPr>
          <w:sz w:val="24"/>
          <w:szCs w:val="24"/>
        </w:rPr>
      </w:pPr>
    </w:p>
    <w:p w:rsidR="00977E25" w:rsidRPr="003E1031" w:rsidRDefault="00977E25" w:rsidP="00977E25">
      <w:pPr>
        <w:spacing w:after="0" w:line="240" w:lineRule="auto"/>
        <w:jc w:val="center"/>
        <w:rPr>
          <w:b/>
          <w:i/>
          <w:color w:val="4F6228" w:themeColor="accent3" w:themeShade="80"/>
          <w:sz w:val="28"/>
          <w:szCs w:val="28"/>
        </w:rPr>
      </w:pPr>
      <w:r w:rsidRPr="003E1031">
        <w:rPr>
          <w:b/>
          <w:i/>
          <w:color w:val="4F6228" w:themeColor="accent3" w:themeShade="80"/>
          <w:sz w:val="20"/>
          <w:szCs w:val="28"/>
        </w:rPr>
        <w:t>G1</w:t>
      </w:r>
      <w:r w:rsidR="000B6DA5" w:rsidRPr="003E1031">
        <w:rPr>
          <w:b/>
          <w:i/>
          <w:color w:val="4F6228" w:themeColor="accent3" w:themeShade="80"/>
          <w:sz w:val="20"/>
          <w:szCs w:val="28"/>
        </w:rPr>
        <w:t>5</w:t>
      </w:r>
      <w:r w:rsidRPr="003E1031">
        <w:rPr>
          <w:b/>
          <w:i/>
          <w:color w:val="4F6228" w:themeColor="accent3" w:themeShade="80"/>
          <w:sz w:val="20"/>
          <w:szCs w:val="28"/>
        </w:rPr>
        <w:t xml:space="preserve"> - </w:t>
      </w:r>
      <w:r w:rsidRPr="003E1031">
        <w:rPr>
          <w:b/>
          <w:i/>
          <w:color w:val="4F6228" w:themeColor="accent3" w:themeShade="80"/>
          <w:sz w:val="28"/>
          <w:szCs w:val="28"/>
        </w:rPr>
        <w:t>Presupuesto inicial para políticas activas de empleo</w:t>
      </w:r>
    </w:p>
    <w:p w:rsidR="00977E25" w:rsidRPr="003E1031" w:rsidRDefault="00977E25" w:rsidP="00977E25">
      <w:pPr>
        <w:spacing w:after="0" w:line="240" w:lineRule="auto"/>
        <w:jc w:val="center"/>
        <w:rPr>
          <w:b/>
          <w:i/>
          <w:color w:val="4F6228" w:themeColor="accent3" w:themeShade="80"/>
        </w:rPr>
      </w:pPr>
      <w:r w:rsidRPr="003E1031">
        <w:rPr>
          <w:b/>
          <w:i/>
          <w:color w:val="4F6228" w:themeColor="accent3" w:themeShade="80"/>
        </w:rPr>
        <w:t xml:space="preserve">Millones de euros </w:t>
      </w:r>
    </w:p>
    <w:p w:rsidR="002E26C0" w:rsidRPr="001D3810" w:rsidRDefault="00977E25" w:rsidP="00D15F63">
      <w:pPr>
        <w:spacing w:after="0" w:line="240" w:lineRule="auto"/>
        <w:jc w:val="center"/>
        <w:rPr>
          <w:sz w:val="24"/>
          <w:szCs w:val="24"/>
        </w:rPr>
      </w:pPr>
      <w:r w:rsidRPr="001D3810">
        <w:rPr>
          <w:noProof/>
          <w:lang w:eastAsia="es-ES"/>
        </w:rPr>
        <w:drawing>
          <wp:inline distT="0" distB="0" distL="0" distR="0">
            <wp:extent cx="3917950" cy="2572823"/>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17950" cy="2572823"/>
                    </a:xfrm>
                    <a:prstGeom prst="rect">
                      <a:avLst/>
                    </a:prstGeom>
                    <a:noFill/>
                    <a:ln>
                      <a:noFill/>
                    </a:ln>
                  </pic:spPr>
                </pic:pic>
              </a:graphicData>
            </a:graphic>
          </wp:inline>
        </w:drawing>
      </w:r>
    </w:p>
    <w:p w:rsidR="00D15F63" w:rsidRPr="003E1031" w:rsidRDefault="00D15F63" w:rsidP="0078551F">
      <w:pPr>
        <w:pStyle w:val="NormalWeb"/>
        <w:tabs>
          <w:tab w:val="left" w:pos="1134"/>
        </w:tabs>
        <w:spacing w:before="0" w:beforeAutospacing="0" w:after="0" w:afterAutospacing="0"/>
        <w:ind w:left="1134" w:right="1133"/>
        <w:jc w:val="both"/>
        <w:rPr>
          <w:rFonts w:asciiTheme="minorHAnsi" w:hAnsiTheme="minorHAnsi"/>
          <w:color w:val="4F6228" w:themeColor="accent3" w:themeShade="80"/>
          <w:sz w:val="20"/>
          <w:szCs w:val="20"/>
        </w:rPr>
      </w:pPr>
      <w:r w:rsidRPr="003E1031">
        <w:rPr>
          <w:rFonts w:asciiTheme="minorHAnsi" w:eastAsiaTheme="minorEastAsia" w:hAnsiTheme="minorHAnsi"/>
          <w:bCs/>
          <w:i/>
          <w:iCs/>
          <w:color w:val="4F6228" w:themeColor="accent3" w:themeShade="80"/>
          <w:kern w:val="24"/>
          <w:sz w:val="20"/>
          <w:szCs w:val="20"/>
        </w:rPr>
        <w:t xml:space="preserve">Fuente: </w:t>
      </w:r>
      <w:r w:rsidR="00356478" w:rsidRPr="003E1031">
        <w:rPr>
          <w:rFonts w:asciiTheme="minorHAnsi" w:eastAsiaTheme="minorEastAsia" w:hAnsiTheme="minorHAnsi"/>
          <w:bCs/>
          <w:i/>
          <w:iCs/>
          <w:color w:val="4F6228" w:themeColor="accent3" w:themeShade="80"/>
          <w:kern w:val="24"/>
          <w:sz w:val="20"/>
          <w:szCs w:val="20"/>
        </w:rPr>
        <w:t>SEPE.</w:t>
      </w:r>
      <w:r w:rsidRPr="003E1031">
        <w:rPr>
          <w:rFonts w:asciiTheme="minorHAnsi" w:eastAsiaTheme="minorEastAsia" w:hAnsiTheme="minorHAnsi"/>
          <w:bCs/>
          <w:i/>
          <w:iCs/>
          <w:color w:val="4F6228" w:themeColor="accent3" w:themeShade="80"/>
          <w:kern w:val="24"/>
          <w:sz w:val="20"/>
          <w:szCs w:val="20"/>
        </w:rPr>
        <w:t xml:space="preserve"> Ministerio de </w:t>
      </w:r>
      <w:r w:rsidR="00356478" w:rsidRPr="003E1031">
        <w:rPr>
          <w:rFonts w:asciiTheme="minorHAnsi" w:eastAsiaTheme="minorEastAsia" w:hAnsiTheme="minorHAnsi"/>
          <w:bCs/>
          <w:i/>
          <w:iCs/>
          <w:color w:val="4F6228" w:themeColor="accent3" w:themeShade="80"/>
          <w:kern w:val="24"/>
          <w:sz w:val="20"/>
          <w:szCs w:val="20"/>
        </w:rPr>
        <w:t>Empleo y Seguridad Social</w:t>
      </w:r>
    </w:p>
    <w:p w:rsidR="002E26C0" w:rsidRPr="001D3810" w:rsidRDefault="002E26C0" w:rsidP="00AE1384">
      <w:pPr>
        <w:spacing w:after="0" w:line="240" w:lineRule="auto"/>
        <w:jc w:val="both"/>
        <w:rPr>
          <w:sz w:val="24"/>
          <w:szCs w:val="24"/>
        </w:rPr>
      </w:pPr>
    </w:p>
    <w:p w:rsidR="00C90B31" w:rsidRPr="001D3810" w:rsidRDefault="00C90B31" w:rsidP="00AE1384">
      <w:pPr>
        <w:spacing w:after="0" w:line="240" w:lineRule="auto"/>
        <w:jc w:val="both"/>
        <w:rPr>
          <w:sz w:val="24"/>
          <w:szCs w:val="24"/>
        </w:rPr>
      </w:pPr>
    </w:p>
    <w:p w:rsidR="0053502D" w:rsidRPr="003E1031" w:rsidRDefault="002E26C0" w:rsidP="00AE1384">
      <w:pPr>
        <w:spacing w:after="0" w:line="240" w:lineRule="auto"/>
        <w:jc w:val="both"/>
        <w:rPr>
          <w:b/>
          <w:color w:val="4F6228" w:themeColor="accent3" w:themeShade="80"/>
          <w:sz w:val="24"/>
          <w:szCs w:val="24"/>
        </w:rPr>
      </w:pPr>
      <w:r w:rsidRPr="001D3810">
        <w:rPr>
          <w:sz w:val="24"/>
          <w:szCs w:val="24"/>
        </w:rPr>
        <w:t>L</w:t>
      </w:r>
      <w:r w:rsidR="0053502D" w:rsidRPr="001D3810">
        <w:rPr>
          <w:sz w:val="24"/>
          <w:szCs w:val="24"/>
        </w:rPr>
        <w:t xml:space="preserve">a persistencia del desempleo, </w:t>
      </w:r>
      <w:r w:rsidRPr="001D3810">
        <w:rPr>
          <w:sz w:val="24"/>
          <w:szCs w:val="24"/>
        </w:rPr>
        <w:t>la ineficacia de las políticas activas, y e</w:t>
      </w:r>
      <w:r w:rsidR="0053502D" w:rsidRPr="001D3810">
        <w:rPr>
          <w:sz w:val="24"/>
          <w:szCs w:val="24"/>
        </w:rPr>
        <w:t xml:space="preserve">l recorte de prestaciones y endurecimiento de las condiciones de acceso a las mismas que </w:t>
      </w:r>
      <w:r w:rsidR="001E4E61" w:rsidRPr="001D3810">
        <w:rPr>
          <w:sz w:val="24"/>
          <w:szCs w:val="24"/>
        </w:rPr>
        <w:t>llevó a cabo el gobierno del PP</w:t>
      </w:r>
      <w:r w:rsidR="00D44AE2" w:rsidRPr="001D3810">
        <w:rPr>
          <w:sz w:val="24"/>
          <w:szCs w:val="24"/>
        </w:rPr>
        <w:t xml:space="preserve"> </w:t>
      </w:r>
      <w:r w:rsidR="001E4E61" w:rsidRPr="001D3810">
        <w:rPr>
          <w:sz w:val="24"/>
          <w:szCs w:val="24"/>
        </w:rPr>
        <w:t>en julio</w:t>
      </w:r>
      <w:r w:rsidR="0053502D" w:rsidRPr="001D3810">
        <w:rPr>
          <w:sz w:val="24"/>
          <w:szCs w:val="24"/>
        </w:rPr>
        <w:t xml:space="preserve"> de 2012, ha</w:t>
      </w:r>
      <w:r w:rsidRPr="001D3810">
        <w:rPr>
          <w:sz w:val="24"/>
          <w:szCs w:val="24"/>
        </w:rPr>
        <w:t>n</w:t>
      </w:r>
      <w:r w:rsidR="0053502D" w:rsidRPr="001D3810">
        <w:rPr>
          <w:sz w:val="24"/>
          <w:szCs w:val="24"/>
        </w:rPr>
        <w:t xml:space="preserve"> provocado una </w:t>
      </w:r>
      <w:r w:rsidR="0053502D" w:rsidRPr="003E1031">
        <w:rPr>
          <w:b/>
          <w:color w:val="4F6228" w:themeColor="accent3" w:themeShade="80"/>
          <w:sz w:val="24"/>
          <w:szCs w:val="24"/>
        </w:rPr>
        <w:t>fuerte caída de su cobertura</w:t>
      </w:r>
      <w:r w:rsidR="0053502D" w:rsidRPr="003E1031">
        <w:rPr>
          <w:color w:val="4F6228" w:themeColor="accent3" w:themeShade="80"/>
          <w:sz w:val="24"/>
          <w:szCs w:val="24"/>
        </w:rPr>
        <w:t>,</w:t>
      </w:r>
      <w:r w:rsidR="0053502D" w:rsidRPr="001D3810">
        <w:rPr>
          <w:sz w:val="24"/>
          <w:szCs w:val="24"/>
        </w:rPr>
        <w:t xml:space="preserve"> que se encuentra en niveles mínimos. </w:t>
      </w:r>
      <w:r w:rsidR="008358B4" w:rsidRPr="001D3810">
        <w:rPr>
          <w:sz w:val="24"/>
          <w:szCs w:val="24"/>
        </w:rPr>
        <w:t xml:space="preserve">En el mes de </w:t>
      </w:r>
      <w:r w:rsidR="005969F7" w:rsidRPr="001D3810">
        <w:rPr>
          <w:sz w:val="24"/>
          <w:szCs w:val="24"/>
        </w:rPr>
        <w:t>enero del presente 2018</w:t>
      </w:r>
      <w:r w:rsidR="008358B4" w:rsidRPr="001D3810">
        <w:rPr>
          <w:sz w:val="24"/>
          <w:szCs w:val="24"/>
        </w:rPr>
        <w:t xml:space="preserve"> </w:t>
      </w:r>
      <w:r w:rsidR="008358B4" w:rsidRPr="003E1031">
        <w:rPr>
          <w:b/>
          <w:color w:val="4F6228" w:themeColor="accent3" w:themeShade="80"/>
          <w:sz w:val="24"/>
          <w:szCs w:val="24"/>
        </w:rPr>
        <w:t>so</w:t>
      </w:r>
      <w:r w:rsidR="005A268D" w:rsidRPr="003E1031">
        <w:rPr>
          <w:b/>
          <w:color w:val="4F6228" w:themeColor="accent3" w:themeShade="80"/>
          <w:sz w:val="24"/>
          <w:szCs w:val="24"/>
        </w:rPr>
        <w:t xml:space="preserve">lo el </w:t>
      </w:r>
      <w:r w:rsidR="005969F7" w:rsidRPr="003E1031">
        <w:rPr>
          <w:b/>
          <w:color w:val="4F6228" w:themeColor="accent3" w:themeShade="80"/>
          <w:sz w:val="24"/>
          <w:szCs w:val="24"/>
        </w:rPr>
        <w:t>6</w:t>
      </w:r>
      <w:r w:rsidR="008358B4" w:rsidRPr="003E1031">
        <w:rPr>
          <w:b/>
          <w:color w:val="4F6228" w:themeColor="accent3" w:themeShade="80"/>
          <w:sz w:val="24"/>
          <w:szCs w:val="24"/>
        </w:rPr>
        <w:t>5,</w:t>
      </w:r>
      <w:r w:rsidR="005969F7" w:rsidRPr="003E1031">
        <w:rPr>
          <w:b/>
          <w:color w:val="4F6228" w:themeColor="accent3" w:themeShade="80"/>
          <w:sz w:val="24"/>
          <w:szCs w:val="24"/>
        </w:rPr>
        <w:t>27</w:t>
      </w:r>
      <w:r w:rsidR="005A268D" w:rsidRPr="003E1031">
        <w:rPr>
          <w:b/>
          <w:color w:val="4F6228" w:themeColor="accent3" w:themeShade="80"/>
          <w:sz w:val="24"/>
          <w:szCs w:val="24"/>
        </w:rPr>
        <w:t>% de los parados registrados en el mes cobraban algún tipo de prestación</w:t>
      </w:r>
      <w:r w:rsidR="008358B4" w:rsidRPr="003E1031">
        <w:rPr>
          <w:b/>
          <w:color w:val="4F6228" w:themeColor="accent3" w:themeShade="80"/>
          <w:sz w:val="24"/>
          <w:szCs w:val="24"/>
        </w:rPr>
        <w:t>. Son 2</w:t>
      </w:r>
      <w:r w:rsidR="005969F7" w:rsidRPr="003E1031">
        <w:rPr>
          <w:b/>
          <w:color w:val="4F6228" w:themeColor="accent3" w:themeShade="80"/>
          <w:sz w:val="24"/>
          <w:szCs w:val="24"/>
        </w:rPr>
        <w:t>1</w:t>
      </w:r>
      <w:r w:rsidR="008358B4" w:rsidRPr="003E1031">
        <w:rPr>
          <w:b/>
          <w:color w:val="4F6228" w:themeColor="accent3" w:themeShade="80"/>
          <w:sz w:val="24"/>
          <w:szCs w:val="24"/>
        </w:rPr>
        <w:t xml:space="preserve"> puntos menos que en </w:t>
      </w:r>
      <w:r w:rsidR="005969F7" w:rsidRPr="003E1031">
        <w:rPr>
          <w:b/>
          <w:color w:val="4F6228" w:themeColor="accent3" w:themeShade="80"/>
          <w:sz w:val="24"/>
          <w:szCs w:val="24"/>
        </w:rPr>
        <w:t>diciembre</w:t>
      </w:r>
      <w:r w:rsidR="008358B4" w:rsidRPr="003E1031">
        <w:rPr>
          <w:b/>
          <w:color w:val="4F6228" w:themeColor="accent3" w:themeShade="80"/>
          <w:sz w:val="24"/>
          <w:szCs w:val="24"/>
        </w:rPr>
        <w:t xml:space="preserve"> de 200</w:t>
      </w:r>
      <w:r w:rsidR="005969F7" w:rsidRPr="003E1031">
        <w:rPr>
          <w:b/>
          <w:color w:val="4F6228" w:themeColor="accent3" w:themeShade="80"/>
          <w:sz w:val="24"/>
          <w:szCs w:val="24"/>
        </w:rPr>
        <w:t>9</w:t>
      </w:r>
      <w:r w:rsidR="008358B4" w:rsidRPr="003E1031">
        <w:rPr>
          <w:b/>
          <w:color w:val="4F6228" w:themeColor="accent3" w:themeShade="80"/>
          <w:sz w:val="24"/>
          <w:szCs w:val="24"/>
        </w:rPr>
        <w:t>, c</w:t>
      </w:r>
      <w:r w:rsidR="00977E25" w:rsidRPr="003E1031">
        <w:rPr>
          <w:b/>
          <w:color w:val="4F6228" w:themeColor="accent3" w:themeShade="80"/>
          <w:sz w:val="24"/>
          <w:szCs w:val="24"/>
        </w:rPr>
        <w:t>u</w:t>
      </w:r>
      <w:r w:rsidR="008358B4" w:rsidRPr="003E1031">
        <w:rPr>
          <w:b/>
          <w:color w:val="4F6228" w:themeColor="accent3" w:themeShade="80"/>
          <w:sz w:val="24"/>
          <w:szCs w:val="24"/>
        </w:rPr>
        <w:t>ando la cobertura fue máxima.</w:t>
      </w:r>
    </w:p>
    <w:p w:rsidR="001E4E61" w:rsidRPr="003E1031" w:rsidRDefault="00C319E1" w:rsidP="001E4E61">
      <w:pPr>
        <w:spacing w:after="0" w:line="240" w:lineRule="auto"/>
        <w:jc w:val="center"/>
        <w:rPr>
          <w:b/>
          <w:i/>
          <w:color w:val="4F6228" w:themeColor="accent3" w:themeShade="80"/>
          <w:sz w:val="28"/>
          <w:szCs w:val="28"/>
        </w:rPr>
      </w:pPr>
      <w:r w:rsidRPr="003E1031">
        <w:rPr>
          <w:b/>
          <w:i/>
          <w:color w:val="4F6228" w:themeColor="accent3" w:themeShade="80"/>
          <w:sz w:val="20"/>
          <w:szCs w:val="28"/>
        </w:rPr>
        <w:lastRenderedPageBreak/>
        <w:t>G1</w:t>
      </w:r>
      <w:r w:rsidR="000B6DA5" w:rsidRPr="003E1031">
        <w:rPr>
          <w:b/>
          <w:i/>
          <w:color w:val="4F6228" w:themeColor="accent3" w:themeShade="80"/>
          <w:sz w:val="20"/>
          <w:szCs w:val="28"/>
        </w:rPr>
        <w:t xml:space="preserve">6 </w:t>
      </w:r>
      <w:r w:rsidRPr="003E1031">
        <w:rPr>
          <w:b/>
          <w:i/>
          <w:color w:val="4F6228" w:themeColor="accent3" w:themeShade="80"/>
          <w:sz w:val="20"/>
          <w:szCs w:val="28"/>
        </w:rPr>
        <w:t xml:space="preserve">- </w:t>
      </w:r>
      <w:r w:rsidR="00DD3353" w:rsidRPr="003E1031">
        <w:rPr>
          <w:b/>
          <w:i/>
          <w:color w:val="4F6228" w:themeColor="accent3" w:themeShade="80"/>
          <w:sz w:val="28"/>
          <w:szCs w:val="28"/>
        </w:rPr>
        <w:t>Tasa de cobertura de las prestaciones por desempleo</w:t>
      </w:r>
    </w:p>
    <w:p w:rsidR="001E4E61" w:rsidRPr="003E1031" w:rsidRDefault="00DD3353" w:rsidP="001E4E61">
      <w:pPr>
        <w:spacing w:after="0" w:line="240" w:lineRule="auto"/>
        <w:jc w:val="center"/>
        <w:rPr>
          <w:b/>
          <w:i/>
          <w:color w:val="4F6228" w:themeColor="accent3" w:themeShade="80"/>
        </w:rPr>
      </w:pPr>
      <w:r w:rsidRPr="003E1031">
        <w:rPr>
          <w:b/>
          <w:i/>
          <w:color w:val="4F6228" w:themeColor="accent3" w:themeShade="80"/>
        </w:rPr>
        <w:t>P</w:t>
      </w:r>
      <w:r w:rsidR="001E4E61" w:rsidRPr="003E1031">
        <w:rPr>
          <w:b/>
          <w:i/>
          <w:color w:val="4F6228" w:themeColor="accent3" w:themeShade="80"/>
        </w:rPr>
        <w:t xml:space="preserve">orcentaje sobre el total de </w:t>
      </w:r>
      <w:r w:rsidRPr="003E1031">
        <w:rPr>
          <w:b/>
          <w:i/>
          <w:color w:val="4F6228" w:themeColor="accent3" w:themeShade="80"/>
        </w:rPr>
        <w:t>parados registrados con experiencia laboral</w:t>
      </w:r>
    </w:p>
    <w:p w:rsidR="0053502D" w:rsidRPr="001D3810" w:rsidRDefault="001532CB" w:rsidP="00DD3353">
      <w:pPr>
        <w:spacing w:after="0" w:line="240" w:lineRule="auto"/>
        <w:jc w:val="center"/>
        <w:rPr>
          <w:sz w:val="24"/>
          <w:szCs w:val="24"/>
        </w:rPr>
      </w:pPr>
      <w:r w:rsidRPr="001D3810">
        <w:rPr>
          <w:noProof/>
          <w:sz w:val="24"/>
          <w:szCs w:val="24"/>
          <w:lang w:eastAsia="es-ES"/>
        </w:rPr>
        <w:drawing>
          <wp:inline distT="0" distB="0" distL="0" distR="0">
            <wp:extent cx="5400040" cy="3390900"/>
            <wp:effectExtent l="19050" t="0" r="10160" b="0"/>
            <wp:docPr id="2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D3353" w:rsidRPr="003E1031" w:rsidRDefault="00DD3353" w:rsidP="00DD3353">
      <w:pPr>
        <w:pStyle w:val="NormalWeb"/>
        <w:spacing w:before="0" w:beforeAutospacing="0" w:after="0" w:afterAutospacing="0"/>
        <w:ind w:firstLine="284"/>
        <w:jc w:val="both"/>
        <w:rPr>
          <w:rFonts w:asciiTheme="minorHAnsi" w:hAnsiTheme="minorHAnsi"/>
          <w:color w:val="4F6228" w:themeColor="accent3" w:themeShade="80"/>
          <w:sz w:val="20"/>
          <w:szCs w:val="20"/>
        </w:rPr>
      </w:pPr>
      <w:r w:rsidRPr="003E1031">
        <w:rPr>
          <w:rFonts w:asciiTheme="minorHAnsi" w:eastAsiaTheme="minorEastAsia" w:hAnsiTheme="minorHAnsi"/>
          <w:bCs/>
          <w:i/>
          <w:iCs/>
          <w:color w:val="4F6228" w:themeColor="accent3" w:themeShade="80"/>
          <w:kern w:val="24"/>
          <w:sz w:val="20"/>
          <w:szCs w:val="20"/>
        </w:rPr>
        <w:t xml:space="preserve">Fuente: </w:t>
      </w:r>
      <w:r w:rsidR="00D15ED3" w:rsidRPr="003E1031">
        <w:rPr>
          <w:rFonts w:asciiTheme="minorHAnsi" w:eastAsiaTheme="minorEastAsia" w:hAnsiTheme="minorHAnsi"/>
          <w:bCs/>
          <w:i/>
          <w:iCs/>
          <w:color w:val="4F6228" w:themeColor="accent3" w:themeShade="80"/>
          <w:kern w:val="24"/>
          <w:sz w:val="20"/>
          <w:szCs w:val="20"/>
        </w:rPr>
        <w:t xml:space="preserve">SEPE. Ministerio de </w:t>
      </w:r>
      <w:r w:rsidR="00952D7E" w:rsidRPr="003E1031">
        <w:rPr>
          <w:rFonts w:asciiTheme="minorHAnsi" w:eastAsiaTheme="minorEastAsia" w:hAnsiTheme="minorHAnsi"/>
          <w:bCs/>
          <w:i/>
          <w:iCs/>
          <w:color w:val="4F6228" w:themeColor="accent3" w:themeShade="80"/>
          <w:kern w:val="24"/>
          <w:sz w:val="20"/>
          <w:szCs w:val="20"/>
        </w:rPr>
        <w:t>Empleo</w:t>
      </w:r>
      <w:r w:rsidR="00D15ED3" w:rsidRPr="003E1031">
        <w:rPr>
          <w:rFonts w:asciiTheme="minorHAnsi" w:eastAsiaTheme="minorEastAsia" w:hAnsiTheme="minorHAnsi"/>
          <w:bCs/>
          <w:i/>
          <w:iCs/>
          <w:color w:val="4F6228" w:themeColor="accent3" w:themeShade="80"/>
          <w:kern w:val="24"/>
          <w:sz w:val="20"/>
          <w:szCs w:val="20"/>
        </w:rPr>
        <w:t xml:space="preserve"> y Seguridad Social</w:t>
      </w:r>
    </w:p>
    <w:p w:rsidR="0053502D" w:rsidRPr="001D3810" w:rsidRDefault="0053502D" w:rsidP="00AE1384">
      <w:pPr>
        <w:spacing w:after="0" w:line="240" w:lineRule="auto"/>
        <w:jc w:val="both"/>
        <w:rPr>
          <w:sz w:val="24"/>
          <w:szCs w:val="24"/>
        </w:rPr>
      </w:pPr>
    </w:p>
    <w:p w:rsidR="00977E25" w:rsidRPr="001D3810" w:rsidRDefault="00977E25" w:rsidP="00977E25">
      <w:pPr>
        <w:spacing w:after="0" w:line="240" w:lineRule="auto"/>
        <w:jc w:val="both"/>
        <w:rPr>
          <w:sz w:val="24"/>
          <w:szCs w:val="24"/>
        </w:rPr>
      </w:pPr>
      <w:r w:rsidRPr="001D3810">
        <w:rPr>
          <w:sz w:val="24"/>
          <w:szCs w:val="24"/>
        </w:rPr>
        <w:t xml:space="preserve">Además, </w:t>
      </w:r>
      <w:r w:rsidR="00BC1F46" w:rsidRPr="003E1031">
        <w:rPr>
          <w:b/>
          <w:color w:val="4F6228" w:themeColor="accent3" w:themeShade="80"/>
          <w:sz w:val="24"/>
          <w:szCs w:val="24"/>
        </w:rPr>
        <w:t>continú</w:t>
      </w:r>
      <w:r w:rsidRPr="003E1031">
        <w:rPr>
          <w:b/>
          <w:color w:val="4F6228" w:themeColor="accent3" w:themeShade="80"/>
          <w:sz w:val="24"/>
          <w:szCs w:val="24"/>
        </w:rPr>
        <w:t xml:space="preserve">a </w:t>
      </w:r>
      <w:r w:rsidR="00BC1F46" w:rsidRPr="003E1031">
        <w:rPr>
          <w:b/>
          <w:color w:val="4F6228" w:themeColor="accent3" w:themeShade="80"/>
          <w:sz w:val="24"/>
          <w:szCs w:val="24"/>
        </w:rPr>
        <w:t>cayendo</w:t>
      </w:r>
      <w:r w:rsidRPr="003E1031">
        <w:rPr>
          <w:b/>
          <w:color w:val="4F6228" w:themeColor="accent3" w:themeShade="80"/>
          <w:sz w:val="24"/>
          <w:szCs w:val="24"/>
        </w:rPr>
        <w:t xml:space="preserve"> la cuantía del gasto medio por beneficiario</w:t>
      </w:r>
      <w:r w:rsidRPr="001D3810">
        <w:rPr>
          <w:b/>
          <w:sz w:val="24"/>
          <w:szCs w:val="24"/>
        </w:rPr>
        <w:t xml:space="preserve">. </w:t>
      </w:r>
      <w:r w:rsidR="00BC1F46" w:rsidRPr="001D3810">
        <w:rPr>
          <w:sz w:val="24"/>
          <w:szCs w:val="24"/>
        </w:rPr>
        <w:t>E</w:t>
      </w:r>
      <w:r w:rsidRPr="001D3810">
        <w:rPr>
          <w:sz w:val="24"/>
          <w:szCs w:val="24"/>
        </w:rPr>
        <w:t xml:space="preserve">n </w:t>
      </w:r>
      <w:r w:rsidR="00BC1F46" w:rsidRPr="001D3810">
        <w:rPr>
          <w:sz w:val="24"/>
          <w:szCs w:val="24"/>
        </w:rPr>
        <w:t>noviembre</w:t>
      </w:r>
      <w:r w:rsidRPr="001D3810">
        <w:rPr>
          <w:sz w:val="24"/>
          <w:szCs w:val="24"/>
        </w:rPr>
        <w:t xml:space="preserve"> de 2017 es </w:t>
      </w:r>
      <w:r w:rsidR="00BC1F46" w:rsidRPr="001D3810">
        <w:rPr>
          <w:sz w:val="24"/>
          <w:szCs w:val="24"/>
        </w:rPr>
        <w:t>69,9</w:t>
      </w:r>
      <w:r w:rsidRPr="001D3810">
        <w:rPr>
          <w:sz w:val="24"/>
          <w:szCs w:val="24"/>
        </w:rPr>
        <w:t xml:space="preserve"> euros inferior al registrado en diciembre de 2011</w:t>
      </w:r>
      <w:r w:rsidR="00BC1F46" w:rsidRPr="001D3810">
        <w:rPr>
          <w:i/>
          <w:sz w:val="24"/>
          <w:szCs w:val="24"/>
        </w:rPr>
        <w:t>(Gráfico 15)</w:t>
      </w:r>
      <w:r w:rsidRPr="001D3810">
        <w:rPr>
          <w:sz w:val="24"/>
          <w:szCs w:val="24"/>
        </w:rPr>
        <w:t xml:space="preserve">. Este descenso del gasto por desempleado no solo ha aumentado la desprotección de los trabajadores, sino que </w:t>
      </w:r>
      <w:r w:rsidRPr="003E1031">
        <w:rPr>
          <w:b/>
          <w:color w:val="4F6228" w:themeColor="accent3" w:themeShade="80"/>
          <w:sz w:val="24"/>
          <w:szCs w:val="24"/>
        </w:rPr>
        <w:t>ha provocado una caída adicional de los ingresos de la Seguridad Social</w:t>
      </w:r>
      <w:r w:rsidRPr="003E1031">
        <w:rPr>
          <w:color w:val="4F6228" w:themeColor="accent3" w:themeShade="80"/>
          <w:sz w:val="24"/>
          <w:szCs w:val="24"/>
        </w:rPr>
        <w:t>,</w:t>
      </w:r>
      <w:r w:rsidRPr="001D3810">
        <w:rPr>
          <w:sz w:val="24"/>
          <w:szCs w:val="24"/>
        </w:rPr>
        <w:t xml:space="preserve"> al reducirse las cotizaciones por desempleo</w:t>
      </w:r>
      <w:r w:rsidR="00BC1F46" w:rsidRPr="001D3810">
        <w:rPr>
          <w:sz w:val="24"/>
          <w:szCs w:val="24"/>
        </w:rPr>
        <w:t>.</w:t>
      </w:r>
    </w:p>
    <w:p w:rsidR="00C90B31" w:rsidRPr="001D3810" w:rsidRDefault="00C90B31" w:rsidP="00AE1384">
      <w:pPr>
        <w:spacing w:after="0" w:line="240" w:lineRule="auto"/>
        <w:jc w:val="both"/>
        <w:rPr>
          <w:sz w:val="24"/>
          <w:szCs w:val="24"/>
        </w:rPr>
      </w:pPr>
    </w:p>
    <w:p w:rsidR="000721C4" w:rsidRPr="003E1031" w:rsidRDefault="00C319E1" w:rsidP="000721C4">
      <w:pPr>
        <w:spacing w:after="0" w:line="240" w:lineRule="auto"/>
        <w:jc w:val="center"/>
        <w:rPr>
          <w:b/>
          <w:i/>
          <w:color w:val="4F6228" w:themeColor="accent3" w:themeShade="80"/>
          <w:sz w:val="28"/>
          <w:szCs w:val="28"/>
        </w:rPr>
      </w:pPr>
      <w:r w:rsidRPr="003E1031">
        <w:rPr>
          <w:b/>
          <w:i/>
          <w:color w:val="4F6228" w:themeColor="accent3" w:themeShade="80"/>
          <w:sz w:val="20"/>
          <w:szCs w:val="28"/>
        </w:rPr>
        <w:t>G1</w:t>
      </w:r>
      <w:r w:rsidR="000B6DA5" w:rsidRPr="003E1031">
        <w:rPr>
          <w:b/>
          <w:i/>
          <w:color w:val="4F6228" w:themeColor="accent3" w:themeShade="80"/>
          <w:sz w:val="20"/>
          <w:szCs w:val="28"/>
        </w:rPr>
        <w:t>7</w:t>
      </w:r>
      <w:r w:rsidRPr="003E1031">
        <w:rPr>
          <w:b/>
          <w:i/>
          <w:color w:val="4F6228" w:themeColor="accent3" w:themeShade="80"/>
          <w:sz w:val="20"/>
          <w:szCs w:val="28"/>
        </w:rPr>
        <w:t xml:space="preserve"> - </w:t>
      </w:r>
      <w:r w:rsidR="000721C4" w:rsidRPr="003E1031">
        <w:rPr>
          <w:b/>
          <w:i/>
          <w:color w:val="4F6228" w:themeColor="accent3" w:themeShade="80"/>
          <w:sz w:val="28"/>
          <w:szCs w:val="28"/>
        </w:rPr>
        <w:t>Gasto medio por beneficiario de prestaciones por desempleo</w:t>
      </w:r>
    </w:p>
    <w:p w:rsidR="000721C4" w:rsidRPr="003E1031" w:rsidRDefault="000721C4" w:rsidP="000721C4">
      <w:pPr>
        <w:spacing w:after="0" w:line="240" w:lineRule="auto"/>
        <w:jc w:val="center"/>
        <w:rPr>
          <w:b/>
          <w:i/>
          <w:color w:val="4F6228" w:themeColor="accent3" w:themeShade="80"/>
        </w:rPr>
      </w:pPr>
      <w:r w:rsidRPr="003E1031">
        <w:rPr>
          <w:b/>
          <w:i/>
          <w:color w:val="4F6228" w:themeColor="accent3" w:themeShade="80"/>
        </w:rPr>
        <w:t>Euros /mes</w:t>
      </w:r>
    </w:p>
    <w:p w:rsidR="000721C4" w:rsidRPr="003E1031" w:rsidRDefault="00BC1F46" w:rsidP="000721C4">
      <w:pPr>
        <w:spacing w:after="0" w:line="240" w:lineRule="auto"/>
        <w:jc w:val="center"/>
        <w:rPr>
          <w:color w:val="4F6228" w:themeColor="accent3" w:themeShade="80"/>
          <w:sz w:val="24"/>
          <w:szCs w:val="24"/>
        </w:rPr>
      </w:pPr>
      <w:r w:rsidRPr="003E1031">
        <w:rPr>
          <w:noProof/>
          <w:color w:val="4F6228" w:themeColor="accent3" w:themeShade="80"/>
          <w:lang w:eastAsia="es-ES"/>
        </w:rPr>
        <w:drawing>
          <wp:inline distT="0" distB="0" distL="0" distR="0">
            <wp:extent cx="4038464" cy="2254250"/>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38881" cy="2254483"/>
                    </a:xfrm>
                    <a:prstGeom prst="rect">
                      <a:avLst/>
                    </a:prstGeom>
                    <a:noFill/>
                    <a:ln>
                      <a:noFill/>
                    </a:ln>
                  </pic:spPr>
                </pic:pic>
              </a:graphicData>
            </a:graphic>
          </wp:inline>
        </w:drawing>
      </w:r>
    </w:p>
    <w:p w:rsidR="000721C4" w:rsidRPr="003E1031" w:rsidRDefault="000721C4" w:rsidP="00376B24">
      <w:pPr>
        <w:pStyle w:val="NormalWeb"/>
        <w:spacing w:before="0" w:beforeAutospacing="0" w:after="0" w:afterAutospacing="0"/>
        <w:ind w:firstLine="993"/>
        <w:jc w:val="both"/>
        <w:rPr>
          <w:rFonts w:asciiTheme="minorHAnsi" w:hAnsiTheme="minorHAnsi"/>
          <w:color w:val="4F6228" w:themeColor="accent3" w:themeShade="80"/>
          <w:sz w:val="20"/>
          <w:szCs w:val="20"/>
        </w:rPr>
      </w:pPr>
      <w:r w:rsidRPr="003E1031">
        <w:rPr>
          <w:rFonts w:asciiTheme="minorHAnsi" w:eastAsiaTheme="minorEastAsia" w:hAnsiTheme="minorHAnsi"/>
          <w:bCs/>
          <w:i/>
          <w:iCs/>
          <w:color w:val="4F6228" w:themeColor="accent3" w:themeShade="80"/>
          <w:kern w:val="24"/>
          <w:sz w:val="20"/>
          <w:szCs w:val="20"/>
        </w:rPr>
        <w:t>Fuente: SEPE. Ministerio de Trabajo y Seguridad Social</w:t>
      </w:r>
    </w:p>
    <w:p w:rsidR="00B97F9C" w:rsidRPr="003E1031" w:rsidRDefault="00B97F9C" w:rsidP="002E26C0">
      <w:pPr>
        <w:spacing w:after="0" w:line="240" w:lineRule="auto"/>
        <w:jc w:val="both"/>
        <w:rPr>
          <w:color w:val="4F6228" w:themeColor="accent3" w:themeShade="80"/>
          <w:sz w:val="24"/>
          <w:szCs w:val="24"/>
        </w:rPr>
      </w:pPr>
    </w:p>
    <w:p w:rsidR="004349F4" w:rsidRPr="003E1031" w:rsidRDefault="004349F4" w:rsidP="004349F4">
      <w:pPr>
        <w:spacing w:after="0" w:line="240" w:lineRule="auto"/>
        <w:jc w:val="both"/>
        <w:rPr>
          <w:color w:val="4F6228" w:themeColor="accent3" w:themeShade="80"/>
          <w:sz w:val="24"/>
          <w:szCs w:val="24"/>
        </w:rPr>
      </w:pPr>
      <w:r w:rsidRPr="003E1031">
        <w:rPr>
          <w:b/>
          <w:color w:val="4F6228" w:themeColor="accent3" w:themeShade="80"/>
          <w:sz w:val="24"/>
          <w:szCs w:val="24"/>
        </w:rPr>
        <w:t>El descenso de la cobertura global del sistema de prestaciones, tanto en extensión como en intensidad, es uno de los causantes del aumento de los niveles de pobreza y de exclusión social en España en los últimos años</w:t>
      </w:r>
      <w:r w:rsidR="00C90B31" w:rsidRPr="003E1031">
        <w:rPr>
          <w:color w:val="4F6228" w:themeColor="accent3" w:themeShade="80"/>
          <w:sz w:val="24"/>
          <w:szCs w:val="24"/>
        </w:rPr>
        <w:t>.</w:t>
      </w:r>
    </w:p>
    <w:p w:rsidR="00C90B31" w:rsidRPr="003E1031" w:rsidRDefault="00C90B31" w:rsidP="004349F4">
      <w:pPr>
        <w:spacing w:after="0" w:line="240" w:lineRule="auto"/>
        <w:jc w:val="both"/>
        <w:rPr>
          <w:color w:val="4F6228" w:themeColor="accent3" w:themeShade="80"/>
          <w:sz w:val="24"/>
          <w:szCs w:val="24"/>
        </w:rPr>
      </w:pPr>
    </w:p>
    <w:p w:rsidR="00F006FE" w:rsidRPr="003E1031" w:rsidRDefault="00F006FE" w:rsidP="00AA4DF7">
      <w:pPr>
        <w:pStyle w:val="Prrafodelista"/>
        <w:numPr>
          <w:ilvl w:val="0"/>
          <w:numId w:val="13"/>
        </w:numPr>
        <w:spacing w:after="0" w:line="240" w:lineRule="auto"/>
        <w:ind w:left="426" w:hanging="426"/>
        <w:jc w:val="both"/>
        <w:rPr>
          <w:b/>
          <w:color w:val="4F6228" w:themeColor="accent3" w:themeShade="80"/>
          <w:sz w:val="28"/>
          <w:szCs w:val="28"/>
        </w:rPr>
      </w:pPr>
      <w:r w:rsidRPr="003E1031">
        <w:rPr>
          <w:b/>
          <w:color w:val="4F6228" w:themeColor="accent3" w:themeShade="80"/>
          <w:sz w:val="28"/>
          <w:szCs w:val="28"/>
        </w:rPr>
        <w:t>Los salarios</w:t>
      </w:r>
      <w:r w:rsidR="00373CF9" w:rsidRPr="003E1031">
        <w:rPr>
          <w:b/>
          <w:color w:val="4F6228" w:themeColor="accent3" w:themeShade="80"/>
          <w:sz w:val="28"/>
          <w:szCs w:val="28"/>
        </w:rPr>
        <w:t>, marginados de la recuperación</w:t>
      </w:r>
    </w:p>
    <w:p w:rsidR="00772F0D" w:rsidRPr="001D3810" w:rsidRDefault="00772F0D" w:rsidP="00772F0D">
      <w:pPr>
        <w:spacing w:after="0" w:line="240" w:lineRule="auto"/>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t xml:space="preserve">Una de las causas esenciales por las cuales el crecimiento económico no se está traduciendo en una mejora de la calidad de vida de la mayoría de los hogares y por la que no se están reduciendo los niveles de pobreza es la </w:t>
      </w:r>
      <w:r w:rsidRPr="00F527F8">
        <w:rPr>
          <w:b/>
          <w:color w:val="4F6228" w:themeColor="accent3" w:themeShade="80"/>
          <w:sz w:val="24"/>
          <w:szCs w:val="24"/>
        </w:rPr>
        <w:t>no recuperación de las rentas salariales.</w:t>
      </w:r>
      <w:r w:rsidRPr="001D3810">
        <w:rPr>
          <w:sz w:val="24"/>
          <w:szCs w:val="24"/>
        </w:rPr>
        <w:t xml:space="preserve"> De 2009 a 2013 se produjo una intensa devaluación salarial, pero la llegada del crecimiento económico no se ha traducido en una mejora paralela del poder de compra salarial, como sí sucedió en otras etapas de recuperación económica. </w:t>
      </w:r>
    </w:p>
    <w:p w:rsidR="00373CF9" w:rsidRPr="001D3810" w:rsidRDefault="00373CF9" w:rsidP="00373CF9">
      <w:pPr>
        <w:spacing w:after="0" w:line="240" w:lineRule="auto"/>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t xml:space="preserve">Este es quizá uno de los rasgos más inquietantes del modelo de crecimiento que se ido construyendo en nuestro país: la falta de correlación entre el incremento de la actividad y de los beneficios empresariales, por un lado, y el poder de compra de las trabajadoras y los trabajadores, por el otro. Y ello se debe en gran medida al perverso efecto de los cambios que se han llevado a cabo de manera unilateral en la negociación colectiva, donde se realiza el reparto primario de la renta, otorgando un poder desmesurado a las empresas y rompiendo en consecuencia el equilibrio esencial que debe caracterizar todo proceso de negociación para que derive en resultados eficientes y equitativos. </w:t>
      </w:r>
    </w:p>
    <w:p w:rsidR="00373CF9" w:rsidRPr="001D3810" w:rsidRDefault="00373CF9" w:rsidP="00373CF9">
      <w:pPr>
        <w:spacing w:after="0" w:line="240" w:lineRule="auto"/>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t xml:space="preserve">Lo sucedido en 2017 es sintomático de lo comentado. A pesar de que el PIB ha crecido en el conjunto del año un 3,1%, de que el empleo crece a una tasa muy cercana del 2,7%, y que las empresas llevan varios años aumentando de manera muy generalizada (y cuantiosa) sus beneficios, </w:t>
      </w:r>
      <w:r w:rsidRPr="00F527F8">
        <w:rPr>
          <w:b/>
          <w:color w:val="4F6228" w:themeColor="accent3" w:themeShade="80"/>
          <w:sz w:val="24"/>
          <w:szCs w:val="24"/>
        </w:rPr>
        <w:t>los salarios han vuelto a perder poder de compra</w:t>
      </w:r>
      <w:r w:rsidRPr="001D3810">
        <w:rPr>
          <w:sz w:val="24"/>
          <w:szCs w:val="24"/>
        </w:rPr>
        <w:t xml:space="preserve">. Los salarios de convenio han crecido un 1,4%, mientras los precios de consumo lo han hecho un 2%, con lo que el resultado es una pérdida de 0,6 puntos porcentuales. </w:t>
      </w:r>
    </w:p>
    <w:p w:rsidR="00373CF9" w:rsidRPr="001D3810" w:rsidRDefault="00373CF9" w:rsidP="00373CF9">
      <w:pPr>
        <w:spacing w:after="0" w:line="240" w:lineRule="auto"/>
        <w:jc w:val="both"/>
        <w:rPr>
          <w:sz w:val="24"/>
          <w:szCs w:val="24"/>
        </w:rPr>
      </w:pPr>
    </w:p>
    <w:p w:rsidR="00373CF9" w:rsidRPr="00F527F8" w:rsidRDefault="00373CF9" w:rsidP="00373CF9">
      <w:pPr>
        <w:spacing w:after="0" w:line="240" w:lineRule="auto"/>
        <w:jc w:val="center"/>
        <w:rPr>
          <w:b/>
          <w:i/>
          <w:color w:val="4F6228" w:themeColor="accent3" w:themeShade="80"/>
          <w:sz w:val="28"/>
          <w:szCs w:val="28"/>
        </w:rPr>
      </w:pPr>
      <w:r w:rsidRPr="00F527F8">
        <w:rPr>
          <w:b/>
          <w:i/>
          <w:color w:val="4F6228" w:themeColor="accent3" w:themeShade="80"/>
          <w:sz w:val="20"/>
          <w:szCs w:val="28"/>
        </w:rPr>
        <w:t xml:space="preserve">G18 - </w:t>
      </w:r>
      <w:r w:rsidRPr="00F527F8">
        <w:rPr>
          <w:b/>
          <w:i/>
          <w:color w:val="4F6228" w:themeColor="accent3" w:themeShade="80"/>
          <w:sz w:val="28"/>
          <w:szCs w:val="28"/>
        </w:rPr>
        <w:t>Aumentos salariales en la negociación colectiva, IPC y salarios reales</w:t>
      </w:r>
    </w:p>
    <w:p w:rsidR="00373CF9" w:rsidRPr="00F527F8" w:rsidRDefault="00373CF9" w:rsidP="00373CF9">
      <w:pPr>
        <w:spacing w:after="0" w:line="240" w:lineRule="auto"/>
        <w:jc w:val="center"/>
        <w:rPr>
          <w:b/>
          <w:i/>
          <w:color w:val="4F6228" w:themeColor="accent3" w:themeShade="80"/>
        </w:rPr>
      </w:pPr>
      <w:r w:rsidRPr="00F527F8">
        <w:rPr>
          <w:b/>
          <w:i/>
          <w:color w:val="4F6228" w:themeColor="accent3" w:themeShade="80"/>
        </w:rPr>
        <w:t>Tasas de variación anual</w:t>
      </w:r>
    </w:p>
    <w:p w:rsidR="00373CF9" w:rsidRPr="001D3810" w:rsidRDefault="00373CF9" w:rsidP="00373CF9">
      <w:pPr>
        <w:spacing w:after="0" w:line="240" w:lineRule="auto"/>
        <w:jc w:val="center"/>
        <w:rPr>
          <w:noProof/>
          <w:lang w:eastAsia="es-ES"/>
        </w:rPr>
      </w:pPr>
      <w:r w:rsidRPr="001D3810">
        <w:rPr>
          <w:noProof/>
          <w:lang w:eastAsia="es-ES"/>
        </w:rPr>
        <w:drawing>
          <wp:inline distT="0" distB="0" distL="0" distR="0">
            <wp:extent cx="5400040" cy="301661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016615"/>
                    </a:xfrm>
                    <a:prstGeom prst="rect">
                      <a:avLst/>
                    </a:prstGeom>
                    <a:noFill/>
                    <a:ln>
                      <a:noFill/>
                    </a:ln>
                  </pic:spPr>
                </pic:pic>
              </a:graphicData>
            </a:graphic>
          </wp:inline>
        </w:drawing>
      </w:r>
    </w:p>
    <w:p w:rsidR="00373CF9" w:rsidRPr="00F527F8" w:rsidRDefault="00373CF9" w:rsidP="00373CF9">
      <w:pPr>
        <w:pStyle w:val="NormalWeb"/>
        <w:spacing w:before="0" w:beforeAutospacing="0" w:after="0" w:afterAutospacing="0"/>
        <w:jc w:val="both"/>
        <w:rPr>
          <w:rFonts w:asciiTheme="minorHAnsi" w:hAnsiTheme="minorHAnsi"/>
          <w:color w:val="4F6228" w:themeColor="accent3" w:themeShade="80"/>
          <w:sz w:val="20"/>
          <w:szCs w:val="20"/>
        </w:rPr>
      </w:pPr>
      <w:r w:rsidRPr="00F527F8">
        <w:rPr>
          <w:rFonts w:asciiTheme="minorHAnsi" w:eastAsiaTheme="minorEastAsia" w:hAnsiTheme="minorHAnsi"/>
          <w:bCs/>
          <w:i/>
          <w:iCs/>
          <w:color w:val="4F6228" w:themeColor="accent3" w:themeShade="80"/>
          <w:kern w:val="24"/>
          <w:sz w:val="20"/>
          <w:szCs w:val="20"/>
        </w:rPr>
        <w:t>Fuente: Ministerio de Empleo y Seguridad Social e IPC (INE)</w:t>
      </w:r>
    </w:p>
    <w:p w:rsidR="00373CF9" w:rsidRPr="001D3810" w:rsidRDefault="00373CF9" w:rsidP="00373CF9">
      <w:pPr>
        <w:spacing w:after="0" w:line="240" w:lineRule="auto"/>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lastRenderedPageBreak/>
        <w:t xml:space="preserve">Hay que tener en cuenta que </w:t>
      </w:r>
      <w:r w:rsidRPr="00F527F8">
        <w:rPr>
          <w:b/>
          <w:color w:val="4F6228" w:themeColor="accent3" w:themeShade="80"/>
          <w:sz w:val="24"/>
          <w:szCs w:val="24"/>
        </w:rPr>
        <w:t>la pérdida de poder de compra de los salarios de convenio en una etapa de crecimiento económico supone una anomalía histórica</w:t>
      </w:r>
      <w:r w:rsidRPr="00F527F8">
        <w:rPr>
          <w:color w:val="4F6228" w:themeColor="accent3" w:themeShade="80"/>
          <w:sz w:val="24"/>
          <w:szCs w:val="24"/>
        </w:rPr>
        <w:t>.</w:t>
      </w:r>
      <w:r w:rsidRPr="001D3810">
        <w:rPr>
          <w:sz w:val="24"/>
          <w:szCs w:val="24"/>
        </w:rPr>
        <w:t xml:space="preserve"> En los últimos treinta años solo sucedió en tres: 1994, 1995 y 2008. Pero con diferencias de contexto importantes respecto de 2017, puesto que en 1994 y 1995 apenas se acababa de salir de la dura recesión de 1993 y la creación de empleo era incipiente, y 2008 fue el primer año de la </w:t>
      </w:r>
      <w:r w:rsidRPr="001D3810">
        <w:rPr>
          <w:i/>
          <w:sz w:val="24"/>
          <w:szCs w:val="24"/>
        </w:rPr>
        <w:t>Gran Recesión</w:t>
      </w:r>
      <w:r w:rsidRPr="001D3810">
        <w:rPr>
          <w:sz w:val="24"/>
          <w:szCs w:val="24"/>
        </w:rPr>
        <w:t xml:space="preserve">, con unas expectativas alarmantes, que lamentablemente se confirmaron durante seis años seguidos. Por el contrario, 2017 ha sido el cuarto año consecutivo de crecimiento, y se espera una continuación de la situación de bonanza para 2018. </w:t>
      </w:r>
    </w:p>
    <w:p w:rsidR="00373CF9" w:rsidRPr="001D3810" w:rsidRDefault="00373CF9" w:rsidP="00373CF9">
      <w:pPr>
        <w:spacing w:after="0" w:line="240" w:lineRule="auto"/>
        <w:jc w:val="both"/>
        <w:rPr>
          <w:sz w:val="24"/>
          <w:szCs w:val="24"/>
        </w:rPr>
      </w:pPr>
    </w:p>
    <w:p w:rsidR="00373CF9" w:rsidRPr="00F527F8" w:rsidRDefault="00373CF9" w:rsidP="00373CF9">
      <w:pPr>
        <w:spacing w:after="0" w:line="240" w:lineRule="auto"/>
        <w:jc w:val="both"/>
        <w:rPr>
          <w:color w:val="4F6228" w:themeColor="accent3" w:themeShade="80"/>
          <w:sz w:val="24"/>
          <w:szCs w:val="24"/>
        </w:rPr>
      </w:pPr>
      <w:r w:rsidRPr="001D3810">
        <w:rPr>
          <w:sz w:val="24"/>
          <w:szCs w:val="24"/>
        </w:rPr>
        <w:t xml:space="preserve">Si se observan otros indicadores salariales que representan mejor la evolución conjunta de las rentas salariales que las subidas de convenio (incluyen la totalidad de conceptos salariales, no solo el salario base que figura en la tablas de los convenios), la pérdida es más gravosa. Tomando tanto la remuneración por asalariado de la Contabilidad Nacional, como el coste salarial medio de la Encuesta de Costes Laborales (en ambos casos con datos hasta el tercer trimestre del año), </w:t>
      </w:r>
      <w:r w:rsidRPr="00F527F8">
        <w:rPr>
          <w:b/>
          <w:color w:val="4F6228" w:themeColor="accent3" w:themeShade="80"/>
          <w:sz w:val="24"/>
          <w:szCs w:val="24"/>
        </w:rPr>
        <w:t>la pérdida en 2017 se eleva a</w:t>
      </w:r>
      <w:r w:rsidR="00B82490" w:rsidRPr="00F527F8">
        <w:rPr>
          <w:b/>
          <w:color w:val="4F6228" w:themeColor="accent3" w:themeShade="80"/>
          <w:sz w:val="24"/>
          <w:szCs w:val="24"/>
        </w:rPr>
        <w:t xml:space="preserve"> </w:t>
      </w:r>
      <w:r w:rsidRPr="00F527F8">
        <w:rPr>
          <w:b/>
          <w:color w:val="4F6228" w:themeColor="accent3" w:themeShade="80"/>
          <w:sz w:val="24"/>
          <w:szCs w:val="24"/>
        </w:rPr>
        <w:t>dos puntos porcentuales.</w:t>
      </w:r>
    </w:p>
    <w:p w:rsidR="00373CF9" w:rsidRPr="001D3810" w:rsidRDefault="00373CF9" w:rsidP="00373CF9">
      <w:pPr>
        <w:spacing w:after="0" w:line="240" w:lineRule="auto"/>
        <w:jc w:val="both"/>
        <w:rPr>
          <w:sz w:val="24"/>
          <w:szCs w:val="24"/>
        </w:rPr>
      </w:pPr>
    </w:p>
    <w:p w:rsidR="00373CF9" w:rsidRPr="00F527F8" w:rsidRDefault="00373CF9" w:rsidP="00373CF9">
      <w:pPr>
        <w:spacing w:after="0" w:line="240" w:lineRule="auto"/>
        <w:jc w:val="both"/>
        <w:rPr>
          <w:color w:val="4F6228" w:themeColor="accent3" w:themeShade="80"/>
          <w:sz w:val="24"/>
          <w:szCs w:val="24"/>
        </w:rPr>
      </w:pPr>
      <w:r w:rsidRPr="001D3810">
        <w:rPr>
          <w:sz w:val="24"/>
          <w:szCs w:val="24"/>
        </w:rPr>
        <w:t xml:space="preserve">Lo sucedido este año no hace sino agravar la </w:t>
      </w:r>
      <w:r w:rsidRPr="00F527F8">
        <w:rPr>
          <w:b/>
          <w:color w:val="4F6228" w:themeColor="accent3" w:themeShade="80"/>
          <w:sz w:val="24"/>
          <w:szCs w:val="24"/>
        </w:rPr>
        <w:t>devaluación salarial</w:t>
      </w:r>
      <w:r w:rsidRPr="001D3810">
        <w:rPr>
          <w:sz w:val="24"/>
          <w:szCs w:val="24"/>
        </w:rPr>
        <w:t xml:space="preserve"> que se viene produciendo desde 2009, que se puede cuantificar en </w:t>
      </w:r>
      <w:r w:rsidRPr="00F527F8">
        <w:rPr>
          <w:b/>
          <w:color w:val="4F6228" w:themeColor="accent3" w:themeShade="80"/>
          <w:sz w:val="24"/>
          <w:szCs w:val="24"/>
        </w:rPr>
        <w:t>más de siete puntos porcentuales desde 2009</w:t>
      </w:r>
      <w:r w:rsidRPr="00F527F8">
        <w:rPr>
          <w:color w:val="4F6228" w:themeColor="accent3" w:themeShade="80"/>
          <w:sz w:val="24"/>
          <w:szCs w:val="24"/>
        </w:rPr>
        <w:t xml:space="preserve">. </w:t>
      </w:r>
    </w:p>
    <w:p w:rsidR="00373CF9" w:rsidRPr="00F527F8" w:rsidRDefault="00373CF9" w:rsidP="00373CF9">
      <w:pPr>
        <w:spacing w:after="0" w:line="240" w:lineRule="auto"/>
        <w:jc w:val="both"/>
        <w:rPr>
          <w:color w:val="4F6228" w:themeColor="accent3" w:themeShade="80"/>
          <w:sz w:val="24"/>
          <w:szCs w:val="24"/>
        </w:rPr>
      </w:pPr>
    </w:p>
    <w:p w:rsidR="00373CF9" w:rsidRPr="00F527F8" w:rsidRDefault="00373CF9" w:rsidP="00373CF9">
      <w:pPr>
        <w:spacing w:after="0" w:line="240" w:lineRule="auto"/>
        <w:jc w:val="center"/>
        <w:rPr>
          <w:b/>
          <w:i/>
          <w:color w:val="4F6228" w:themeColor="accent3" w:themeShade="80"/>
          <w:sz w:val="28"/>
          <w:szCs w:val="28"/>
        </w:rPr>
      </w:pPr>
      <w:r w:rsidRPr="00F527F8">
        <w:rPr>
          <w:b/>
          <w:i/>
          <w:color w:val="4F6228" w:themeColor="accent3" w:themeShade="80"/>
          <w:sz w:val="20"/>
          <w:szCs w:val="28"/>
        </w:rPr>
        <w:t>G1</w:t>
      </w:r>
      <w:r w:rsidR="000B6DA5" w:rsidRPr="00F527F8">
        <w:rPr>
          <w:b/>
          <w:i/>
          <w:color w:val="4F6228" w:themeColor="accent3" w:themeShade="80"/>
          <w:sz w:val="20"/>
          <w:szCs w:val="28"/>
        </w:rPr>
        <w:t>9</w:t>
      </w:r>
      <w:r w:rsidRPr="00F527F8">
        <w:rPr>
          <w:b/>
          <w:i/>
          <w:color w:val="4F6228" w:themeColor="accent3" w:themeShade="80"/>
          <w:sz w:val="20"/>
          <w:szCs w:val="28"/>
        </w:rPr>
        <w:t xml:space="preserve"> - </w:t>
      </w:r>
      <w:r w:rsidRPr="00F527F8">
        <w:rPr>
          <w:b/>
          <w:i/>
          <w:color w:val="4F6228" w:themeColor="accent3" w:themeShade="80"/>
          <w:sz w:val="28"/>
          <w:szCs w:val="28"/>
        </w:rPr>
        <w:t xml:space="preserve">Variación del poder adquisitivo de los salarios </w:t>
      </w:r>
    </w:p>
    <w:p w:rsidR="00373CF9" w:rsidRPr="00F527F8" w:rsidRDefault="00373CF9" w:rsidP="00373CF9">
      <w:pPr>
        <w:spacing w:after="0" w:line="240" w:lineRule="auto"/>
        <w:jc w:val="center"/>
        <w:rPr>
          <w:b/>
          <w:i/>
          <w:color w:val="4F6228" w:themeColor="accent3" w:themeShade="80"/>
        </w:rPr>
      </w:pPr>
      <w:r w:rsidRPr="00F527F8">
        <w:rPr>
          <w:b/>
          <w:i/>
          <w:color w:val="4F6228" w:themeColor="accent3" w:themeShade="80"/>
        </w:rPr>
        <w:t>2009 = 100</w:t>
      </w:r>
    </w:p>
    <w:p w:rsidR="00373CF9" w:rsidRPr="001D3810" w:rsidRDefault="00373CF9" w:rsidP="00373CF9">
      <w:pPr>
        <w:spacing w:after="0" w:line="240" w:lineRule="auto"/>
        <w:jc w:val="center"/>
        <w:rPr>
          <w:sz w:val="24"/>
          <w:szCs w:val="24"/>
        </w:rPr>
      </w:pPr>
      <w:r w:rsidRPr="001D3810">
        <w:rPr>
          <w:noProof/>
          <w:lang w:eastAsia="es-ES"/>
        </w:rPr>
        <w:drawing>
          <wp:inline distT="0" distB="0" distL="0" distR="0">
            <wp:extent cx="5327650" cy="3157540"/>
            <wp:effectExtent l="0" t="0" r="635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30157" cy="3159026"/>
                    </a:xfrm>
                    <a:prstGeom prst="rect">
                      <a:avLst/>
                    </a:prstGeom>
                    <a:noFill/>
                    <a:ln>
                      <a:noFill/>
                    </a:ln>
                  </pic:spPr>
                </pic:pic>
              </a:graphicData>
            </a:graphic>
          </wp:inline>
        </w:drawing>
      </w:r>
    </w:p>
    <w:p w:rsidR="00373CF9" w:rsidRPr="00F527F8" w:rsidRDefault="00373CF9" w:rsidP="00373CF9">
      <w:pPr>
        <w:pStyle w:val="NormalWeb"/>
        <w:spacing w:before="0" w:beforeAutospacing="0" w:after="0" w:afterAutospacing="0"/>
        <w:ind w:left="284" w:hanging="284"/>
        <w:jc w:val="both"/>
        <w:rPr>
          <w:rFonts w:asciiTheme="minorHAnsi" w:eastAsiaTheme="minorEastAsia" w:hAnsiTheme="minorHAnsi"/>
          <w:bCs/>
          <w:i/>
          <w:iCs/>
          <w:color w:val="4F6228" w:themeColor="accent3" w:themeShade="80"/>
          <w:kern w:val="24"/>
          <w:sz w:val="20"/>
          <w:szCs w:val="20"/>
        </w:rPr>
      </w:pPr>
      <w:r w:rsidRPr="00F527F8">
        <w:rPr>
          <w:rFonts w:asciiTheme="minorHAnsi" w:eastAsiaTheme="minorEastAsia" w:hAnsiTheme="minorHAnsi"/>
          <w:bCs/>
          <w:i/>
          <w:iCs/>
          <w:color w:val="4F6228" w:themeColor="accent3" w:themeShade="80"/>
          <w:kern w:val="24"/>
          <w:sz w:val="20"/>
          <w:szCs w:val="20"/>
        </w:rPr>
        <w:t>Fuente: ETCL, CN e IPC (INE).</w:t>
      </w:r>
    </w:p>
    <w:p w:rsidR="00373CF9" w:rsidRPr="001D3810" w:rsidRDefault="00373CF9" w:rsidP="00373CF9">
      <w:pPr>
        <w:spacing w:after="0" w:line="240" w:lineRule="auto"/>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t>La existencia de (extraordinaria) de una inflación negativa de 2014 a 2016 permitió que los salarios ganaran algo de poder de compra en esos años, pero la normalización de la inflación en 2017 ha vuelto a poner de relieve la debilidad de los incrementos retributivos de los asalariados, reduciendo de nuevo su capacidad adquisitiva.</w:t>
      </w:r>
    </w:p>
    <w:p w:rsidR="00373CF9" w:rsidRPr="001D3810" w:rsidRDefault="00373CF9" w:rsidP="00373CF9">
      <w:pPr>
        <w:spacing w:after="0" w:line="240" w:lineRule="auto"/>
        <w:jc w:val="both"/>
        <w:rPr>
          <w:sz w:val="24"/>
          <w:szCs w:val="24"/>
        </w:rPr>
      </w:pPr>
      <w:r w:rsidRPr="001D3810">
        <w:rPr>
          <w:sz w:val="24"/>
          <w:szCs w:val="24"/>
        </w:rPr>
        <w:lastRenderedPageBreak/>
        <w:t xml:space="preserve">Los datos ofrecidos por el </w:t>
      </w:r>
      <w:r w:rsidRPr="001D3810">
        <w:rPr>
          <w:i/>
          <w:sz w:val="24"/>
          <w:szCs w:val="24"/>
        </w:rPr>
        <w:t>Decil del salario principal</w:t>
      </w:r>
      <w:r w:rsidRPr="001D3810">
        <w:rPr>
          <w:sz w:val="24"/>
          <w:szCs w:val="24"/>
        </w:rPr>
        <w:t xml:space="preserve">, explotación anual derivada de la EPA, y con datos hasta 2016, permiten visualizar la evolución de los salarios por tramos de población según sus ingresos, resultando que </w:t>
      </w:r>
      <w:r w:rsidRPr="00F527F8">
        <w:rPr>
          <w:b/>
          <w:color w:val="4F6228" w:themeColor="accent3" w:themeShade="80"/>
          <w:sz w:val="24"/>
          <w:szCs w:val="24"/>
        </w:rPr>
        <w:t>han sido los trabajadores y trabajadoras con menores rentas los que han sufrido en mayor medida la caída de los salarios,</w:t>
      </w:r>
      <w:r w:rsidRPr="001D3810">
        <w:rPr>
          <w:sz w:val="24"/>
          <w:szCs w:val="24"/>
        </w:rPr>
        <w:t xml:space="preserve"> bien de manera directa, porque han modificado sus condiciones retributivas aprovechando las facilidades de actuación en los convenios colectivos que otorgó la reforma laboral, bien porque han visto como pasaban, de manera involuntaria, de tener un contrato a jornada completa a uno de jornada parcial, con la inherente reducción de sus remuneraciones. </w:t>
      </w:r>
    </w:p>
    <w:p w:rsidR="00373CF9" w:rsidRPr="001D3810" w:rsidRDefault="00373CF9" w:rsidP="00373CF9">
      <w:pPr>
        <w:spacing w:after="0" w:line="240" w:lineRule="auto"/>
        <w:jc w:val="both"/>
        <w:rPr>
          <w:sz w:val="24"/>
          <w:szCs w:val="24"/>
        </w:rPr>
      </w:pPr>
    </w:p>
    <w:p w:rsidR="00373CF9" w:rsidRPr="00F527F8" w:rsidRDefault="00373CF9" w:rsidP="00373CF9">
      <w:pPr>
        <w:spacing w:after="0" w:line="240" w:lineRule="auto"/>
        <w:jc w:val="both"/>
        <w:rPr>
          <w:b/>
          <w:color w:val="4F6228" w:themeColor="accent3" w:themeShade="80"/>
          <w:sz w:val="24"/>
          <w:szCs w:val="24"/>
        </w:rPr>
      </w:pPr>
      <w:r w:rsidRPr="001D3810">
        <w:rPr>
          <w:sz w:val="24"/>
          <w:szCs w:val="24"/>
        </w:rPr>
        <w:t xml:space="preserve">Los datos son ilustrativos: </w:t>
      </w:r>
      <w:r w:rsidRPr="00F527F8">
        <w:rPr>
          <w:b/>
          <w:color w:val="4F6228" w:themeColor="accent3" w:themeShade="80"/>
          <w:sz w:val="24"/>
          <w:szCs w:val="24"/>
        </w:rPr>
        <w:t>el 10% de trabajadores con menores retribuciones ha visto cómo sus salarios reales (una vez descontado el impacto de los precios) han caído de 2009 a 2016 un 13,8%; el segundo 10% que menos gana ha perdido un 9,6%; el tercero, un 7,7%</w:t>
      </w:r>
      <w:r w:rsidRPr="00F527F8">
        <w:rPr>
          <w:color w:val="4F6228" w:themeColor="accent3" w:themeShade="80"/>
          <w:sz w:val="24"/>
          <w:szCs w:val="24"/>
        </w:rPr>
        <w:t>.</w:t>
      </w:r>
      <w:r w:rsidRPr="001D3810">
        <w:rPr>
          <w:sz w:val="24"/>
          <w:szCs w:val="24"/>
        </w:rPr>
        <w:t xml:space="preserve"> La pérdida media hasta 2016 según esta encuesta ha sido del 4,4%. En definitiva, </w:t>
      </w:r>
      <w:r w:rsidRPr="00F527F8">
        <w:rPr>
          <w:b/>
          <w:color w:val="4F6228" w:themeColor="accent3" w:themeShade="80"/>
          <w:sz w:val="24"/>
          <w:szCs w:val="24"/>
        </w:rPr>
        <w:t xml:space="preserve">han sido los trabajadores y las trabajadoras con menores ingresos los que han sufrido el mayor ajuste, contribuyendo a generar un incremento de las desigualdades y de las situaciones de exclusión social y pobreza relativa. </w:t>
      </w:r>
    </w:p>
    <w:p w:rsidR="00373CF9" w:rsidRPr="001D3810" w:rsidRDefault="00373CF9" w:rsidP="00373CF9">
      <w:pPr>
        <w:spacing w:after="0" w:line="240" w:lineRule="auto"/>
        <w:jc w:val="both"/>
        <w:rPr>
          <w:sz w:val="24"/>
          <w:szCs w:val="24"/>
        </w:rPr>
      </w:pPr>
    </w:p>
    <w:p w:rsidR="00373CF9" w:rsidRPr="00F527F8" w:rsidRDefault="00373CF9" w:rsidP="00373CF9">
      <w:pPr>
        <w:spacing w:after="0" w:line="240" w:lineRule="auto"/>
        <w:jc w:val="center"/>
        <w:rPr>
          <w:b/>
          <w:i/>
          <w:color w:val="4F6228" w:themeColor="accent3" w:themeShade="80"/>
          <w:sz w:val="28"/>
          <w:szCs w:val="28"/>
        </w:rPr>
      </w:pPr>
      <w:r w:rsidRPr="00F527F8">
        <w:rPr>
          <w:b/>
          <w:i/>
          <w:color w:val="4F6228" w:themeColor="accent3" w:themeShade="80"/>
          <w:sz w:val="20"/>
          <w:szCs w:val="28"/>
        </w:rPr>
        <w:t>G</w:t>
      </w:r>
      <w:r w:rsidR="000B6DA5" w:rsidRPr="00F527F8">
        <w:rPr>
          <w:b/>
          <w:i/>
          <w:color w:val="4F6228" w:themeColor="accent3" w:themeShade="80"/>
          <w:sz w:val="20"/>
          <w:szCs w:val="28"/>
        </w:rPr>
        <w:t>20</w:t>
      </w:r>
      <w:r w:rsidRPr="00F527F8">
        <w:rPr>
          <w:b/>
          <w:i/>
          <w:color w:val="4F6228" w:themeColor="accent3" w:themeShade="80"/>
          <w:sz w:val="20"/>
          <w:szCs w:val="28"/>
        </w:rPr>
        <w:t xml:space="preserve"> - </w:t>
      </w:r>
      <w:r w:rsidRPr="00F527F8">
        <w:rPr>
          <w:b/>
          <w:i/>
          <w:color w:val="4F6228" w:themeColor="accent3" w:themeShade="80"/>
          <w:sz w:val="28"/>
          <w:szCs w:val="28"/>
        </w:rPr>
        <w:t xml:space="preserve">Pérdida de poder adquisitivo de los salarios por decil de población* </w:t>
      </w:r>
    </w:p>
    <w:p w:rsidR="00373CF9" w:rsidRPr="001D3810" w:rsidRDefault="00373CF9" w:rsidP="00373CF9">
      <w:pPr>
        <w:spacing w:after="0" w:line="240" w:lineRule="auto"/>
        <w:jc w:val="center"/>
        <w:rPr>
          <w:sz w:val="24"/>
          <w:szCs w:val="24"/>
        </w:rPr>
      </w:pPr>
      <w:r w:rsidRPr="001D3810">
        <w:rPr>
          <w:noProof/>
          <w:lang w:eastAsia="es-ES"/>
        </w:rPr>
        <w:drawing>
          <wp:inline distT="0" distB="0" distL="0" distR="0">
            <wp:extent cx="5264150" cy="2791525"/>
            <wp:effectExtent l="0" t="0" r="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6627" cy="2792839"/>
                    </a:xfrm>
                    <a:prstGeom prst="rect">
                      <a:avLst/>
                    </a:prstGeom>
                    <a:noFill/>
                    <a:ln>
                      <a:noFill/>
                    </a:ln>
                  </pic:spPr>
                </pic:pic>
              </a:graphicData>
            </a:graphic>
          </wp:inline>
        </w:drawing>
      </w:r>
    </w:p>
    <w:p w:rsidR="00373CF9" w:rsidRPr="00F527F8" w:rsidRDefault="00373CF9" w:rsidP="00373CF9">
      <w:pPr>
        <w:pStyle w:val="NormalWeb"/>
        <w:spacing w:before="0" w:beforeAutospacing="0" w:after="0" w:afterAutospacing="0"/>
        <w:ind w:left="284" w:right="-568" w:hanging="284"/>
        <w:jc w:val="both"/>
        <w:rPr>
          <w:rFonts w:asciiTheme="minorHAnsi" w:eastAsiaTheme="minorEastAsia" w:hAnsiTheme="minorHAnsi"/>
          <w:bCs/>
          <w:i/>
          <w:iCs/>
          <w:color w:val="4F6228" w:themeColor="accent3" w:themeShade="80"/>
          <w:kern w:val="24"/>
          <w:sz w:val="20"/>
          <w:szCs w:val="20"/>
        </w:rPr>
      </w:pPr>
      <w:r w:rsidRPr="001D3810">
        <w:rPr>
          <w:rFonts w:asciiTheme="minorHAnsi" w:eastAsiaTheme="minorEastAsia" w:hAnsiTheme="minorHAnsi"/>
          <w:bCs/>
          <w:i/>
          <w:iCs/>
          <w:kern w:val="24"/>
          <w:sz w:val="20"/>
          <w:szCs w:val="20"/>
        </w:rPr>
        <w:t xml:space="preserve">(*) </w:t>
      </w:r>
      <w:r w:rsidRPr="00F527F8">
        <w:rPr>
          <w:rFonts w:asciiTheme="minorHAnsi" w:eastAsiaTheme="minorEastAsia" w:hAnsiTheme="minorHAnsi"/>
          <w:bCs/>
          <w:i/>
          <w:iCs/>
          <w:color w:val="4F6228" w:themeColor="accent3" w:themeShade="80"/>
          <w:kern w:val="24"/>
          <w:sz w:val="20"/>
          <w:szCs w:val="20"/>
        </w:rPr>
        <w:t>El número 1 representa al 10% de población con menores ingresos y el 10% con mayores ingresos</w:t>
      </w:r>
    </w:p>
    <w:p w:rsidR="0028400B" w:rsidRPr="00F527F8" w:rsidRDefault="00373CF9" w:rsidP="0028400B">
      <w:pPr>
        <w:spacing w:after="0" w:line="240" w:lineRule="auto"/>
        <w:jc w:val="center"/>
        <w:rPr>
          <w:b/>
          <w:i/>
          <w:color w:val="4F6228" w:themeColor="accent3" w:themeShade="80"/>
        </w:rPr>
      </w:pPr>
      <w:r w:rsidRPr="00F527F8">
        <w:rPr>
          <w:rFonts w:eastAsiaTheme="minorEastAsia"/>
          <w:bCs/>
          <w:i/>
          <w:iCs/>
          <w:color w:val="4F6228" w:themeColor="accent3" w:themeShade="80"/>
          <w:kern w:val="24"/>
          <w:sz w:val="20"/>
          <w:szCs w:val="20"/>
        </w:rPr>
        <w:t>Fuente: EPA e IPC (INE)</w:t>
      </w:r>
      <w:r w:rsidR="0028400B" w:rsidRPr="00F527F8">
        <w:rPr>
          <w:b/>
          <w:i/>
          <w:color w:val="4F6228" w:themeColor="accent3" w:themeShade="80"/>
        </w:rPr>
        <w:t xml:space="preserve"> 2009-2016, en porcentaje</w:t>
      </w:r>
    </w:p>
    <w:p w:rsidR="00373CF9" w:rsidRPr="001D3810" w:rsidRDefault="00373CF9" w:rsidP="00373CF9">
      <w:pPr>
        <w:spacing w:after="0" w:line="240" w:lineRule="auto"/>
        <w:ind w:right="-568"/>
        <w:jc w:val="both"/>
        <w:rPr>
          <w:sz w:val="24"/>
          <w:szCs w:val="24"/>
        </w:rPr>
      </w:pPr>
    </w:p>
    <w:p w:rsidR="00373CF9" w:rsidRPr="001D3810" w:rsidRDefault="00373CF9" w:rsidP="00373CF9">
      <w:pPr>
        <w:spacing w:after="0" w:line="240" w:lineRule="auto"/>
        <w:jc w:val="both"/>
        <w:rPr>
          <w:sz w:val="24"/>
          <w:szCs w:val="24"/>
        </w:rPr>
      </w:pPr>
      <w:r w:rsidRPr="001D3810">
        <w:rPr>
          <w:sz w:val="24"/>
          <w:szCs w:val="24"/>
        </w:rPr>
        <w:t xml:space="preserve">Esta evolución salarial, unida a la pérdida de empleo del período 2008-2013, y a la expansión paralela de los beneficios de las empresas, ha determinado una </w:t>
      </w:r>
      <w:r w:rsidRPr="00F527F8">
        <w:rPr>
          <w:b/>
          <w:color w:val="4F6228" w:themeColor="accent3" w:themeShade="80"/>
          <w:sz w:val="24"/>
          <w:szCs w:val="24"/>
        </w:rPr>
        <w:t>caída de la participación de la remuneración de los asalariados sobre la Renta Nacional</w:t>
      </w:r>
      <w:r w:rsidRPr="001D3810">
        <w:rPr>
          <w:rStyle w:val="Refdenotaalpie"/>
          <w:b/>
          <w:sz w:val="24"/>
          <w:szCs w:val="24"/>
        </w:rPr>
        <w:footnoteReference w:id="5"/>
      </w:r>
      <w:r w:rsidRPr="001D3810">
        <w:rPr>
          <w:sz w:val="24"/>
          <w:szCs w:val="24"/>
        </w:rPr>
        <w:t>(del 54,6% en 2008 al 53,1% en 2016 (el mismo porcentaje en 2017 con datos hasta el tercer trimestre)</w:t>
      </w:r>
      <w:r w:rsidRPr="001D3810">
        <w:rPr>
          <w:b/>
          <w:sz w:val="24"/>
          <w:szCs w:val="24"/>
        </w:rPr>
        <w:t>,</w:t>
      </w:r>
      <w:r w:rsidRPr="001D3810">
        <w:rPr>
          <w:sz w:val="24"/>
          <w:szCs w:val="24"/>
        </w:rPr>
        <w:t xml:space="preserve"> mientras que las rentas de las empresas, de los autónomos y de la propiedad aumentaron su peso. Aún mayor ha sido el descenso de la participación de las rentas salariales en la renta generada por las Sociedades No Financieras, que han pasado de absorber el 61,2% en 2008 al 57,9% en 2017.</w:t>
      </w:r>
    </w:p>
    <w:p w:rsidR="00373CF9" w:rsidRPr="001D3810" w:rsidRDefault="00373CF9" w:rsidP="00373CF9">
      <w:pPr>
        <w:spacing w:after="0" w:line="240" w:lineRule="auto"/>
        <w:jc w:val="center"/>
        <w:rPr>
          <w:b/>
          <w:i/>
          <w:sz w:val="28"/>
          <w:szCs w:val="28"/>
        </w:rPr>
      </w:pPr>
    </w:p>
    <w:p w:rsidR="00373CF9" w:rsidRPr="00F527F8" w:rsidRDefault="00373CF9" w:rsidP="00373CF9">
      <w:pPr>
        <w:spacing w:after="0" w:line="240" w:lineRule="auto"/>
        <w:jc w:val="center"/>
        <w:rPr>
          <w:b/>
          <w:i/>
          <w:color w:val="4F6228" w:themeColor="accent3" w:themeShade="80"/>
          <w:sz w:val="28"/>
          <w:szCs w:val="28"/>
        </w:rPr>
      </w:pPr>
      <w:r w:rsidRPr="00F527F8">
        <w:rPr>
          <w:b/>
          <w:i/>
          <w:color w:val="4F6228" w:themeColor="accent3" w:themeShade="80"/>
          <w:sz w:val="20"/>
          <w:szCs w:val="28"/>
        </w:rPr>
        <w:t>G</w:t>
      </w:r>
      <w:r w:rsidR="000B6DA5" w:rsidRPr="00F527F8">
        <w:rPr>
          <w:b/>
          <w:i/>
          <w:color w:val="4F6228" w:themeColor="accent3" w:themeShade="80"/>
          <w:sz w:val="20"/>
          <w:szCs w:val="28"/>
        </w:rPr>
        <w:t>21</w:t>
      </w:r>
      <w:r w:rsidRPr="00F527F8">
        <w:rPr>
          <w:b/>
          <w:i/>
          <w:color w:val="4F6228" w:themeColor="accent3" w:themeShade="80"/>
          <w:sz w:val="20"/>
          <w:szCs w:val="28"/>
        </w:rPr>
        <w:t>–</w:t>
      </w:r>
      <w:r w:rsidRPr="00F527F8">
        <w:rPr>
          <w:b/>
          <w:i/>
          <w:color w:val="4F6228" w:themeColor="accent3" w:themeShade="80"/>
          <w:sz w:val="28"/>
          <w:szCs w:val="28"/>
        </w:rPr>
        <w:t>Participación de la remuneración de asalariados en la Renta</w:t>
      </w:r>
    </w:p>
    <w:p w:rsidR="00373CF9" w:rsidRPr="00F527F8" w:rsidRDefault="00373CF9" w:rsidP="00373CF9">
      <w:pPr>
        <w:spacing w:after="0" w:line="240" w:lineRule="auto"/>
        <w:jc w:val="center"/>
        <w:rPr>
          <w:b/>
          <w:i/>
          <w:color w:val="4F6228" w:themeColor="accent3" w:themeShade="80"/>
        </w:rPr>
      </w:pPr>
      <w:r w:rsidRPr="00F527F8">
        <w:rPr>
          <w:b/>
          <w:i/>
          <w:color w:val="4F6228" w:themeColor="accent3" w:themeShade="80"/>
          <w:sz w:val="24"/>
          <w:szCs w:val="28"/>
        </w:rPr>
        <w:t>Total economía y Sociedades No Financieras</w:t>
      </w:r>
      <w:r w:rsidR="0028400B" w:rsidRPr="00F527F8">
        <w:rPr>
          <w:b/>
          <w:i/>
          <w:color w:val="4F6228" w:themeColor="accent3" w:themeShade="80"/>
          <w:sz w:val="24"/>
          <w:szCs w:val="28"/>
        </w:rPr>
        <w:t xml:space="preserve"> </w:t>
      </w:r>
      <w:r w:rsidRPr="00F527F8">
        <w:rPr>
          <w:b/>
          <w:i/>
          <w:color w:val="4F6228" w:themeColor="accent3" w:themeShade="80"/>
        </w:rPr>
        <w:t>Renta Total = 100; datos coste  factores</w:t>
      </w:r>
    </w:p>
    <w:p w:rsidR="00373CF9" w:rsidRPr="001D3810" w:rsidRDefault="00373CF9" w:rsidP="00373CF9">
      <w:pPr>
        <w:spacing w:after="0" w:line="240" w:lineRule="auto"/>
        <w:jc w:val="center"/>
        <w:rPr>
          <w:sz w:val="24"/>
          <w:szCs w:val="24"/>
        </w:rPr>
      </w:pPr>
      <w:r w:rsidRPr="001D3810">
        <w:rPr>
          <w:noProof/>
          <w:lang w:eastAsia="es-ES"/>
        </w:rPr>
        <w:drawing>
          <wp:inline distT="0" distB="0" distL="0" distR="0">
            <wp:extent cx="4838700" cy="290221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40977" cy="2903580"/>
                    </a:xfrm>
                    <a:prstGeom prst="rect">
                      <a:avLst/>
                    </a:prstGeom>
                    <a:noFill/>
                    <a:ln>
                      <a:noFill/>
                    </a:ln>
                  </pic:spPr>
                </pic:pic>
              </a:graphicData>
            </a:graphic>
          </wp:inline>
        </w:drawing>
      </w:r>
    </w:p>
    <w:p w:rsidR="00373CF9" w:rsidRPr="00F527F8" w:rsidRDefault="00373CF9" w:rsidP="0028400B">
      <w:pPr>
        <w:pStyle w:val="NormalWeb"/>
        <w:spacing w:before="0" w:beforeAutospacing="0" w:after="0" w:afterAutospacing="0"/>
        <w:jc w:val="both"/>
        <w:rPr>
          <w:rFonts w:asciiTheme="minorHAnsi" w:hAnsiTheme="minorHAnsi"/>
          <w:color w:val="4F6228" w:themeColor="accent3" w:themeShade="80"/>
          <w:sz w:val="20"/>
          <w:szCs w:val="20"/>
        </w:rPr>
      </w:pPr>
      <w:r w:rsidRPr="00F527F8">
        <w:rPr>
          <w:rFonts w:asciiTheme="minorHAnsi" w:eastAsiaTheme="minorEastAsia" w:hAnsiTheme="minorHAnsi"/>
          <w:bCs/>
          <w:i/>
          <w:iCs/>
          <w:color w:val="4F6228" w:themeColor="accent3" w:themeShade="80"/>
          <w:kern w:val="24"/>
          <w:sz w:val="20"/>
          <w:szCs w:val="20"/>
        </w:rPr>
        <w:t>(*)  2017, datos de los tres primeros trimestres (términos brutos).</w:t>
      </w:r>
      <w:r w:rsidR="0028400B" w:rsidRPr="00F527F8">
        <w:rPr>
          <w:rFonts w:asciiTheme="minorHAnsi" w:eastAsiaTheme="minorEastAsia" w:hAnsiTheme="minorHAnsi"/>
          <w:bCs/>
          <w:i/>
          <w:iCs/>
          <w:color w:val="4F6228" w:themeColor="accent3" w:themeShade="80"/>
          <w:kern w:val="24"/>
          <w:sz w:val="20"/>
          <w:szCs w:val="20"/>
        </w:rPr>
        <w:t xml:space="preserve"> </w:t>
      </w:r>
      <w:r w:rsidRPr="00F527F8">
        <w:rPr>
          <w:rFonts w:asciiTheme="minorHAnsi" w:eastAsiaTheme="minorEastAsia" w:hAnsiTheme="minorHAnsi"/>
          <w:bCs/>
          <w:i/>
          <w:iCs/>
          <w:color w:val="4F6228" w:themeColor="accent3" w:themeShade="80"/>
          <w:kern w:val="24"/>
          <w:sz w:val="20"/>
          <w:szCs w:val="20"/>
        </w:rPr>
        <w:t>Fuente: Contabilidad Nacional (INE)</w:t>
      </w:r>
    </w:p>
    <w:p w:rsidR="00373CF9" w:rsidRPr="001D3810" w:rsidRDefault="00373CF9" w:rsidP="00373CF9">
      <w:pPr>
        <w:spacing w:after="0" w:line="240" w:lineRule="auto"/>
        <w:jc w:val="both"/>
        <w:rPr>
          <w:rFonts w:ascii="Calibri" w:eastAsia="Times New Roman" w:hAnsi="Calibri" w:cs="Times New Roman"/>
          <w:b/>
          <w:sz w:val="24"/>
          <w:lang w:eastAsia="es-ES"/>
        </w:rPr>
      </w:pPr>
    </w:p>
    <w:p w:rsidR="00373CF9" w:rsidRPr="00F527F8" w:rsidRDefault="00373CF9" w:rsidP="00373CF9">
      <w:pPr>
        <w:spacing w:after="0" w:line="240" w:lineRule="auto"/>
        <w:jc w:val="both"/>
        <w:rPr>
          <w:rFonts w:ascii="Calibri" w:eastAsia="Times New Roman" w:hAnsi="Calibri" w:cs="Times New Roman"/>
          <w:b/>
          <w:color w:val="4F6228" w:themeColor="accent3" w:themeShade="80"/>
          <w:sz w:val="24"/>
          <w:lang w:eastAsia="es-ES"/>
        </w:rPr>
      </w:pPr>
      <w:r w:rsidRPr="001D3810">
        <w:rPr>
          <w:rFonts w:ascii="Calibri" w:eastAsia="Times New Roman" w:hAnsi="Calibri" w:cs="Times New Roman"/>
          <w:sz w:val="24"/>
          <w:lang w:eastAsia="es-ES"/>
        </w:rPr>
        <w:t xml:space="preserve">Esto supone que </w:t>
      </w:r>
      <w:r w:rsidRPr="00F527F8">
        <w:rPr>
          <w:rFonts w:ascii="Calibri" w:eastAsia="Times New Roman" w:hAnsi="Calibri" w:cs="Times New Roman"/>
          <w:b/>
          <w:color w:val="4F6228" w:themeColor="accent3" w:themeShade="80"/>
          <w:sz w:val="24"/>
          <w:lang w:eastAsia="es-ES"/>
        </w:rPr>
        <w:t>se ha producido un cuantioso trasvase de rentas desde los asalariados a las empresas</w:t>
      </w:r>
      <w:r w:rsidRPr="001D3810">
        <w:rPr>
          <w:rFonts w:ascii="Calibri" w:eastAsia="Times New Roman" w:hAnsi="Calibri" w:cs="Times New Roman"/>
          <w:b/>
          <w:sz w:val="24"/>
          <w:lang w:eastAsia="es-ES"/>
        </w:rPr>
        <w:t xml:space="preserve">. </w:t>
      </w:r>
      <w:r w:rsidRPr="001D3810">
        <w:rPr>
          <w:rFonts w:ascii="Calibri" w:eastAsia="Times New Roman" w:hAnsi="Calibri" w:cs="Times New Roman"/>
          <w:sz w:val="24"/>
          <w:lang w:eastAsia="es-ES"/>
        </w:rPr>
        <w:t xml:space="preserve">En el conjunto de la economía, </w:t>
      </w:r>
      <w:r w:rsidRPr="001D3810">
        <w:rPr>
          <w:rFonts w:ascii="Calibri" w:eastAsia="Times New Roman" w:hAnsi="Calibri" w:cs="Times New Roman"/>
          <w:b/>
          <w:sz w:val="24"/>
          <w:lang w:eastAsia="es-ES"/>
        </w:rPr>
        <w:t>de 2008 a 2016</w:t>
      </w:r>
      <w:r w:rsidRPr="001D3810">
        <w:rPr>
          <w:rFonts w:ascii="Calibri" w:eastAsia="Times New Roman" w:hAnsi="Calibri" w:cs="Times New Roman"/>
          <w:sz w:val="24"/>
          <w:lang w:eastAsia="es-ES"/>
        </w:rPr>
        <w:t xml:space="preserve"> (último año cerrado)</w:t>
      </w:r>
      <w:r w:rsidRPr="001D3810">
        <w:rPr>
          <w:rFonts w:ascii="Calibri" w:eastAsia="Times New Roman" w:hAnsi="Calibri" w:cs="Times New Roman"/>
          <w:b/>
          <w:sz w:val="24"/>
          <w:lang w:eastAsia="es-ES"/>
        </w:rPr>
        <w:t xml:space="preserve"> </w:t>
      </w:r>
      <w:r w:rsidRPr="00F527F8">
        <w:rPr>
          <w:rFonts w:ascii="Calibri" w:eastAsia="Times New Roman" w:hAnsi="Calibri" w:cs="Times New Roman"/>
          <w:b/>
          <w:color w:val="4F6228" w:themeColor="accent3" w:themeShade="80"/>
          <w:sz w:val="24"/>
          <w:lang w:eastAsia="es-ES"/>
        </w:rPr>
        <w:t xml:space="preserve">las rentas de los asalariados han caído en 26.900 millones de euros, mientras que el excedente empresarial ha crecido en 5.900 millones. En el caso de las </w:t>
      </w:r>
      <w:r w:rsidR="00026031" w:rsidRPr="00F527F8">
        <w:rPr>
          <w:rFonts w:ascii="Calibri" w:eastAsia="Times New Roman" w:hAnsi="Calibri" w:cs="Times New Roman"/>
          <w:b/>
          <w:color w:val="4F6228" w:themeColor="accent3" w:themeShade="80"/>
          <w:sz w:val="24"/>
          <w:lang w:eastAsia="es-ES"/>
        </w:rPr>
        <w:t>sociedades</w:t>
      </w:r>
      <w:r w:rsidRPr="00F527F8">
        <w:rPr>
          <w:rFonts w:ascii="Calibri" w:eastAsia="Times New Roman" w:hAnsi="Calibri" w:cs="Times New Roman"/>
          <w:b/>
          <w:color w:val="4F6228" w:themeColor="accent3" w:themeShade="80"/>
          <w:sz w:val="24"/>
          <w:lang w:eastAsia="es-ES"/>
        </w:rPr>
        <w:t xml:space="preserve"> no financieras, en el mismo período los salarios cayeron en 25.300 millones de euros, y los beneficios empresariales aumentaron en 21.900 millones.</w:t>
      </w:r>
    </w:p>
    <w:p w:rsidR="00373CF9" w:rsidRPr="001D3810" w:rsidRDefault="00373CF9" w:rsidP="00373CF9">
      <w:pPr>
        <w:spacing w:after="0" w:line="240" w:lineRule="auto"/>
        <w:jc w:val="both"/>
        <w:rPr>
          <w:rFonts w:ascii="Calibri" w:eastAsia="Times New Roman" w:hAnsi="Calibri" w:cs="Times New Roman"/>
          <w:b/>
          <w:sz w:val="24"/>
          <w:lang w:eastAsia="es-ES"/>
        </w:rPr>
      </w:pPr>
    </w:p>
    <w:p w:rsidR="00373CF9" w:rsidRPr="00F527F8" w:rsidRDefault="00373CF9" w:rsidP="00373CF9">
      <w:pPr>
        <w:spacing w:after="0" w:line="240" w:lineRule="auto"/>
        <w:jc w:val="both"/>
        <w:rPr>
          <w:b/>
          <w:color w:val="4F6228" w:themeColor="accent3" w:themeShade="80"/>
          <w:sz w:val="24"/>
          <w:szCs w:val="24"/>
        </w:rPr>
      </w:pPr>
      <w:r w:rsidRPr="001D3810">
        <w:rPr>
          <w:sz w:val="24"/>
          <w:szCs w:val="24"/>
        </w:rPr>
        <w:t xml:space="preserve">En este contexto se han iniciado las conversaciones entre las organizaciones sindicales y empresariales para intentar consensuar unos criterios salariales comunes para 2018 y años siguientes, como parte de un posible </w:t>
      </w:r>
      <w:r w:rsidRPr="00F527F8">
        <w:rPr>
          <w:b/>
          <w:i/>
          <w:color w:val="4F6228" w:themeColor="accent3" w:themeShade="80"/>
          <w:sz w:val="24"/>
          <w:szCs w:val="24"/>
        </w:rPr>
        <w:t>IV Acuerdo para el Empleo y la Negociación Colectiva</w:t>
      </w:r>
      <w:r w:rsidRPr="00F527F8">
        <w:rPr>
          <w:b/>
          <w:color w:val="4F6228" w:themeColor="accent3" w:themeShade="80"/>
          <w:sz w:val="24"/>
          <w:szCs w:val="24"/>
        </w:rPr>
        <w:t xml:space="preserve"> (</w:t>
      </w:r>
      <w:r w:rsidRPr="00F527F8">
        <w:rPr>
          <w:b/>
          <w:i/>
          <w:color w:val="4F6228" w:themeColor="accent3" w:themeShade="80"/>
          <w:sz w:val="24"/>
          <w:szCs w:val="24"/>
        </w:rPr>
        <w:t>AENC</w:t>
      </w:r>
      <w:r w:rsidRPr="00F527F8">
        <w:rPr>
          <w:b/>
          <w:color w:val="4F6228" w:themeColor="accent3" w:themeShade="80"/>
          <w:sz w:val="24"/>
          <w:szCs w:val="24"/>
        </w:rPr>
        <w:t xml:space="preserve">). </w:t>
      </w:r>
    </w:p>
    <w:p w:rsidR="00373CF9" w:rsidRPr="00F527F8" w:rsidRDefault="00373CF9" w:rsidP="00373CF9">
      <w:pPr>
        <w:spacing w:after="0" w:line="240" w:lineRule="auto"/>
        <w:jc w:val="both"/>
        <w:rPr>
          <w:b/>
          <w:color w:val="4F6228" w:themeColor="accent3" w:themeShade="80"/>
          <w:sz w:val="24"/>
          <w:szCs w:val="24"/>
        </w:rPr>
      </w:pPr>
    </w:p>
    <w:p w:rsidR="00373CF9" w:rsidRPr="001D3810" w:rsidRDefault="00373CF9" w:rsidP="00373CF9">
      <w:pPr>
        <w:spacing w:after="0" w:line="240" w:lineRule="auto"/>
        <w:jc w:val="both"/>
        <w:rPr>
          <w:sz w:val="24"/>
          <w:szCs w:val="24"/>
        </w:rPr>
      </w:pPr>
      <w:r w:rsidRPr="00F527F8">
        <w:rPr>
          <w:b/>
          <w:color w:val="4F6228" w:themeColor="accent3" w:themeShade="80"/>
          <w:sz w:val="24"/>
          <w:szCs w:val="24"/>
        </w:rPr>
        <w:t>UGT y CCOO proponen aumentos particularizados en cada ámbito de negociación, basados en la suma de dos referencias: la productividad nominal prevista</w:t>
      </w:r>
      <w:r w:rsidRPr="001D3810">
        <w:rPr>
          <w:b/>
          <w:sz w:val="24"/>
          <w:szCs w:val="24"/>
        </w:rPr>
        <w:t xml:space="preserve"> </w:t>
      </w:r>
      <w:r w:rsidRPr="001D3810">
        <w:rPr>
          <w:sz w:val="24"/>
          <w:szCs w:val="24"/>
        </w:rPr>
        <w:t>(con un suelo de aumento situado en la previsión de inflación, para que los salarios no vuelvan a perder poder de compra)</w:t>
      </w:r>
      <w:r w:rsidRPr="001D3810">
        <w:rPr>
          <w:b/>
          <w:sz w:val="24"/>
          <w:szCs w:val="24"/>
        </w:rPr>
        <w:t xml:space="preserve">; </w:t>
      </w:r>
      <w:r w:rsidRPr="00F527F8">
        <w:rPr>
          <w:b/>
          <w:color w:val="4F6228" w:themeColor="accent3" w:themeShade="80"/>
          <w:sz w:val="24"/>
          <w:szCs w:val="24"/>
        </w:rPr>
        <w:t>un aumento extraordinario para recuperar el poder de compra perdido desde el inicio de la crisis, que para 2018 han situado en el 1,5%. E incluyendo cláusulas de revisión salarial</w:t>
      </w:r>
      <w:r w:rsidRPr="001D3810">
        <w:rPr>
          <w:b/>
          <w:sz w:val="24"/>
          <w:szCs w:val="24"/>
        </w:rPr>
        <w:t xml:space="preserve"> </w:t>
      </w:r>
      <w:r w:rsidRPr="001D3810">
        <w:rPr>
          <w:sz w:val="24"/>
          <w:szCs w:val="24"/>
        </w:rPr>
        <w:t>en todos los convenios para el caso de que el aumento de precios sea finalmente s</w:t>
      </w:r>
      <w:r w:rsidR="0028400B" w:rsidRPr="001D3810">
        <w:rPr>
          <w:sz w:val="24"/>
          <w:szCs w:val="24"/>
        </w:rPr>
        <w:t>uperior a la inflación prevista.</w:t>
      </w:r>
    </w:p>
    <w:p w:rsidR="00373CF9" w:rsidRPr="001D3810" w:rsidRDefault="00373CF9" w:rsidP="00373CF9">
      <w:pPr>
        <w:spacing w:after="0" w:line="240" w:lineRule="auto"/>
        <w:jc w:val="both"/>
        <w:rPr>
          <w:b/>
          <w:sz w:val="24"/>
          <w:szCs w:val="24"/>
        </w:rPr>
      </w:pPr>
    </w:p>
    <w:p w:rsidR="00373CF9" w:rsidRPr="00F527F8" w:rsidRDefault="00373CF9" w:rsidP="00373CF9">
      <w:pPr>
        <w:spacing w:after="0" w:line="240" w:lineRule="auto"/>
        <w:jc w:val="both"/>
        <w:rPr>
          <w:b/>
          <w:color w:val="4F6228" w:themeColor="accent3" w:themeShade="80"/>
          <w:sz w:val="24"/>
          <w:szCs w:val="24"/>
        </w:rPr>
      </w:pPr>
      <w:r w:rsidRPr="001D3810">
        <w:rPr>
          <w:sz w:val="24"/>
          <w:szCs w:val="24"/>
        </w:rPr>
        <w:t xml:space="preserve">Además, ambos sindicatos proponen aumentar sobre todo los salarios más bajos, que como se ha visto son los que más han perdido en la etapa de crisis. Para ello, plantean esencialmente que </w:t>
      </w:r>
      <w:r w:rsidRPr="00F527F8">
        <w:rPr>
          <w:b/>
          <w:color w:val="4F6228" w:themeColor="accent3" w:themeShade="80"/>
          <w:sz w:val="24"/>
          <w:szCs w:val="24"/>
        </w:rPr>
        <w:t xml:space="preserve">el salario garantizado de convenio no sea inferior en ningún caso a 1.000 euros brutos al mes. </w:t>
      </w:r>
    </w:p>
    <w:p w:rsidR="00FE71BD" w:rsidRPr="001D3810" w:rsidRDefault="00FE71BD" w:rsidP="00373CF9">
      <w:pPr>
        <w:spacing w:after="0" w:line="240" w:lineRule="auto"/>
        <w:jc w:val="both"/>
        <w:rPr>
          <w:b/>
          <w:sz w:val="24"/>
          <w:szCs w:val="24"/>
        </w:rPr>
      </w:pPr>
    </w:p>
    <w:p w:rsidR="00FE71BD" w:rsidRPr="001D3810" w:rsidRDefault="00FE71BD" w:rsidP="00373CF9">
      <w:pPr>
        <w:spacing w:after="0" w:line="240" w:lineRule="auto"/>
        <w:jc w:val="both"/>
        <w:rPr>
          <w:sz w:val="24"/>
          <w:szCs w:val="24"/>
        </w:rPr>
      </w:pPr>
      <w:r w:rsidRPr="001D3810">
        <w:rPr>
          <w:sz w:val="24"/>
          <w:szCs w:val="24"/>
        </w:rPr>
        <w:t>Las organizaciones empresariales no han explicitado aún su propuesta en materia salarial.</w:t>
      </w:r>
    </w:p>
    <w:p w:rsidR="00373CF9" w:rsidRPr="001D3810" w:rsidRDefault="00373CF9" w:rsidP="00772F0D">
      <w:pPr>
        <w:spacing w:after="0" w:line="240" w:lineRule="auto"/>
        <w:jc w:val="both"/>
        <w:rPr>
          <w:sz w:val="24"/>
          <w:szCs w:val="24"/>
        </w:rPr>
      </w:pPr>
    </w:p>
    <w:p w:rsidR="004349F4" w:rsidRPr="004D1331" w:rsidRDefault="004349F4" w:rsidP="004349F4">
      <w:pPr>
        <w:pStyle w:val="Prrafodelista"/>
        <w:numPr>
          <w:ilvl w:val="0"/>
          <w:numId w:val="13"/>
        </w:numPr>
        <w:spacing w:after="0" w:line="240" w:lineRule="auto"/>
        <w:jc w:val="both"/>
        <w:rPr>
          <w:b/>
          <w:color w:val="4F6228" w:themeColor="accent3" w:themeShade="80"/>
          <w:sz w:val="28"/>
          <w:szCs w:val="28"/>
        </w:rPr>
      </w:pPr>
      <w:r w:rsidRPr="004D1331">
        <w:rPr>
          <w:b/>
          <w:color w:val="4F6228" w:themeColor="accent3" w:themeShade="80"/>
          <w:sz w:val="28"/>
          <w:szCs w:val="28"/>
        </w:rPr>
        <w:t>La</w:t>
      </w:r>
      <w:r w:rsidR="00193F1A" w:rsidRPr="004D1331">
        <w:rPr>
          <w:b/>
          <w:color w:val="4F6228" w:themeColor="accent3" w:themeShade="80"/>
          <w:sz w:val="28"/>
          <w:szCs w:val="28"/>
        </w:rPr>
        <w:t>s</w:t>
      </w:r>
      <w:r w:rsidRPr="004D1331">
        <w:rPr>
          <w:b/>
          <w:color w:val="4F6228" w:themeColor="accent3" w:themeShade="80"/>
          <w:sz w:val="28"/>
          <w:szCs w:val="28"/>
        </w:rPr>
        <w:t xml:space="preserve"> mujer</w:t>
      </w:r>
      <w:r w:rsidR="00193F1A" w:rsidRPr="004D1331">
        <w:rPr>
          <w:b/>
          <w:color w:val="4F6228" w:themeColor="accent3" w:themeShade="80"/>
          <w:sz w:val="28"/>
          <w:szCs w:val="28"/>
        </w:rPr>
        <w:t>es</w:t>
      </w:r>
      <w:r w:rsidR="0028400B" w:rsidRPr="004D1331">
        <w:rPr>
          <w:b/>
          <w:color w:val="4F6228" w:themeColor="accent3" w:themeShade="80"/>
          <w:sz w:val="28"/>
          <w:szCs w:val="28"/>
        </w:rPr>
        <w:t xml:space="preserve"> </w:t>
      </w:r>
      <w:r w:rsidR="00FD7525" w:rsidRPr="004D1331">
        <w:rPr>
          <w:b/>
          <w:color w:val="4F6228" w:themeColor="accent3" w:themeShade="80"/>
          <w:sz w:val="28"/>
          <w:szCs w:val="28"/>
        </w:rPr>
        <w:t>siguen sufriendo una peor situación</w:t>
      </w:r>
      <w:r w:rsidRPr="004D1331">
        <w:rPr>
          <w:b/>
          <w:color w:val="4F6228" w:themeColor="accent3" w:themeShade="80"/>
          <w:sz w:val="28"/>
          <w:szCs w:val="28"/>
        </w:rPr>
        <w:t xml:space="preserve"> relativa</w:t>
      </w:r>
    </w:p>
    <w:p w:rsidR="004349F4" w:rsidRPr="001D3810" w:rsidRDefault="004349F4" w:rsidP="004349F4">
      <w:pPr>
        <w:widowControl w:val="0"/>
        <w:tabs>
          <w:tab w:val="left" w:pos="426"/>
        </w:tabs>
        <w:spacing w:after="0" w:line="240" w:lineRule="auto"/>
        <w:ind w:left="142"/>
        <w:jc w:val="both"/>
        <w:rPr>
          <w:rFonts w:ascii="Calibri" w:eastAsia="Times New Roman" w:hAnsi="Calibri" w:cs="Calibri"/>
          <w:lang w:eastAsia="es-ES"/>
        </w:rPr>
      </w:pPr>
    </w:p>
    <w:p w:rsidR="00536899" w:rsidRPr="001D3810" w:rsidRDefault="004349F4" w:rsidP="004349F4">
      <w:pPr>
        <w:tabs>
          <w:tab w:val="left" w:pos="993"/>
        </w:tabs>
        <w:spacing w:after="0" w:line="240" w:lineRule="auto"/>
        <w:jc w:val="both"/>
        <w:rPr>
          <w:rFonts w:cs="Arial"/>
          <w:sz w:val="24"/>
          <w:szCs w:val="24"/>
        </w:rPr>
      </w:pPr>
      <w:r w:rsidRPr="001D3810">
        <w:rPr>
          <w:rFonts w:cs="Arial"/>
          <w:sz w:val="24"/>
          <w:szCs w:val="24"/>
        </w:rPr>
        <w:t>La actual fase expansiva está volviendo a poner de relieve la peor situación comparada en el mercado laboral de la</w:t>
      </w:r>
      <w:r w:rsidR="00193F1A" w:rsidRPr="001D3810">
        <w:rPr>
          <w:rFonts w:cs="Arial"/>
          <w:sz w:val="24"/>
          <w:szCs w:val="24"/>
        </w:rPr>
        <w:t>s</w:t>
      </w:r>
      <w:r w:rsidRPr="001D3810">
        <w:rPr>
          <w:rFonts w:cs="Arial"/>
          <w:sz w:val="24"/>
          <w:szCs w:val="24"/>
        </w:rPr>
        <w:t xml:space="preserve"> mujer</w:t>
      </w:r>
      <w:r w:rsidR="00193F1A" w:rsidRPr="001D3810">
        <w:rPr>
          <w:rFonts w:cs="Arial"/>
          <w:sz w:val="24"/>
          <w:szCs w:val="24"/>
        </w:rPr>
        <w:t>es</w:t>
      </w:r>
      <w:r w:rsidRPr="001D3810">
        <w:rPr>
          <w:rFonts w:cs="Arial"/>
          <w:sz w:val="24"/>
          <w:szCs w:val="24"/>
        </w:rPr>
        <w:t xml:space="preserve"> respecto de</w:t>
      </w:r>
      <w:r w:rsidR="00193F1A" w:rsidRPr="001D3810">
        <w:rPr>
          <w:rFonts w:cs="Arial"/>
          <w:sz w:val="24"/>
          <w:szCs w:val="24"/>
        </w:rPr>
        <w:t xml:space="preserve"> los</w:t>
      </w:r>
      <w:r w:rsidRPr="001D3810">
        <w:rPr>
          <w:rFonts w:cs="Arial"/>
          <w:sz w:val="24"/>
          <w:szCs w:val="24"/>
        </w:rPr>
        <w:t xml:space="preserve"> hombre</w:t>
      </w:r>
      <w:r w:rsidR="00193F1A" w:rsidRPr="001D3810">
        <w:rPr>
          <w:rFonts w:cs="Arial"/>
          <w:sz w:val="24"/>
          <w:szCs w:val="24"/>
        </w:rPr>
        <w:t>s</w:t>
      </w:r>
      <w:r w:rsidRPr="001D3810">
        <w:rPr>
          <w:rFonts w:cs="Arial"/>
          <w:sz w:val="24"/>
          <w:szCs w:val="24"/>
        </w:rPr>
        <w:t>. Como la crisis tuvo (sobre todo en sus primeros años) una incidencia mucho mayor sobre sectores de actividad muy masculinizados (como la construcción), los registros de empleo de los hombres sufrieron un drástico retroceso, de manera que las mujeres vieron como mejoraba su situación relativa (aunque sus registros absolutos seguían siendo peor</w:t>
      </w:r>
      <w:r w:rsidR="00536899" w:rsidRPr="001D3810">
        <w:rPr>
          <w:rFonts w:cs="Arial"/>
          <w:sz w:val="24"/>
          <w:szCs w:val="24"/>
        </w:rPr>
        <w:t>es en la mayoría de variables).</w:t>
      </w:r>
    </w:p>
    <w:p w:rsidR="00536899" w:rsidRPr="001D3810" w:rsidRDefault="00536899" w:rsidP="004349F4">
      <w:pPr>
        <w:tabs>
          <w:tab w:val="left" w:pos="993"/>
        </w:tabs>
        <w:spacing w:after="0" w:line="240" w:lineRule="auto"/>
        <w:jc w:val="both"/>
        <w:rPr>
          <w:rFonts w:cs="Arial"/>
          <w:sz w:val="24"/>
          <w:szCs w:val="24"/>
        </w:rPr>
      </w:pPr>
    </w:p>
    <w:p w:rsidR="004349F4" w:rsidRPr="001D3810" w:rsidRDefault="004349F4" w:rsidP="004349F4">
      <w:pPr>
        <w:tabs>
          <w:tab w:val="left" w:pos="993"/>
        </w:tabs>
        <w:spacing w:after="0" w:line="240" w:lineRule="auto"/>
        <w:jc w:val="both"/>
        <w:rPr>
          <w:rFonts w:cs="Arial"/>
          <w:sz w:val="24"/>
          <w:szCs w:val="24"/>
        </w:rPr>
      </w:pPr>
      <w:r w:rsidRPr="001D3810">
        <w:rPr>
          <w:rFonts w:cs="Arial"/>
          <w:sz w:val="24"/>
          <w:szCs w:val="24"/>
        </w:rPr>
        <w:t>Ahora, de manera inversa, la reactivación está beneficiando en mayor medida a los hombres, con lo que las mujeres se están viendo relegadas y sus estadísticas están retrocediendo en términos comparados.</w:t>
      </w:r>
    </w:p>
    <w:p w:rsidR="00614E1A" w:rsidRPr="001D3810" w:rsidRDefault="00614E1A" w:rsidP="004349F4">
      <w:pPr>
        <w:tabs>
          <w:tab w:val="left" w:pos="993"/>
        </w:tabs>
        <w:spacing w:after="0" w:line="240" w:lineRule="auto"/>
        <w:jc w:val="both"/>
        <w:rPr>
          <w:rFonts w:cs="Arial"/>
          <w:sz w:val="24"/>
          <w:szCs w:val="24"/>
        </w:rPr>
      </w:pPr>
    </w:p>
    <w:p w:rsidR="00D60A0C" w:rsidRPr="001D3810" w:rsidRDefault="004349F4" w:rsidP="004349F4">
      <w:pPr>
        <w:tabs>
          <w:tab w:val="left" w:pos="993"/>
        </w:tabs>
        <w:spacing w:after="0" w:line="240" w:lineRule="auto"/>
        <w:jc w:val="both"/>
        <w:rPr>
          <w:rFonts w:cs="Arial"/>
          <w:sz w:val="24"/>
          <w:szCs w:val="24"/>
        </w:rPr>
      </w:pPr>
      <w:r w:rsidRPr="001D3810">
        <w:rPr>
          <w:rFonts w:cs="Arial"/>
          <w:sz w:val="24"/>
          <w:szCs w:val="24"/>
        </w:rPr>
        <w:t xml:space="preserve">De entrada, desde 2013 se está produciendo un fenómeno novedoso en nuestro país en décadas: </w:t>
      </w:r>
      <w:r w:rsidRPr="004D1331">
        <w:rPr>
          <w:rFonts w:cs="Arial"/>
          <w:b/>
          <w:color w:val="4F6228" w:themeColor="accent3" w:themeShade="80"/>
          <w:sz w:val="24"/>
          <w:szCs w:val="24"/>
        </w:rPr>
        <w:t>la población activa femenina se está contrayendo</w:t>
      </w:r>
      <w:r w:rsidRPr="001D3810">
        <w:rPr>
          <w:rFonts w:cs="Arial"/>
          <w:sz w:val="24"/>
          <w:szCs w:val="24"/>
        </w:rPr>
        <w:t xml:space="preserve">. </w:t>
      </w:r>
      <w:r w:rsidR="00386EB3" w:rsidRPr="001D3810">
        <w:rPr>
          <w:rFonts w:cs="Arial"/>
          <w:sz w:val="24"/>
          <w:szCs w:val="24"/>
        </w:rPr>
        <w:t>No</w:t>
      </w:r>
      <w:r w:rsidRPr="001D3810">
        <w:rPr>
          <w:rFonts w:cs="Arial"/>
          <w:sz w:val="24"/>
          <w:szCs w:val="24"/>
        </w:rPr>
        <w:t xml:space="preserve"> hemos conseguido una tasa de actividad femenina equiparable a las de los países de nuestro entorno (la </w:t>
      </w:r>
      <w:r w:rsidR="00386EB3" w:rsidRPr="001D3810">
        <w:rPr>
          <w:rFonts w:cs="Arial"/>
          <w:sz w:val="24"/>
          <w:szCs w:val="24"/>
        </w:rPr>
        <w:t>andaluza</w:t>
      </w:r>
      <w:r w:rsidRPr="001D3810">
        <w:rPr>
          <w:rFonts w:cs="Arial"/>
          <w:sz w:val="24"/>
          <w:szCs w:val="24"/>
        </w:rPr>
        <w:t xml:space="preserve"> es </w:t>
      </w:r>
      <w:r w:rsidR="00386EB3" w:rsidRPr="001D3810">
        <w:rPr>
          <w:rFonts w:cs="Arial"/>
          <w:sz w:val="24"/>
          <w:szCs w:val="24"/>
        </w:rPr>
        <w:t>2</w:t>
      </w:r>
      <w:r w:rsidRPr="001D3810">
        <w:rPr>
          <w:rFonts w:cs="Arial"/>
          <w:sz w:val="24"/>
          <w:szCs w:val="24"/>
        </w:rPr>
        <w:t>,</w:t>
      </w:r>
      <w:r w:rsidR="00386EB3" w:rsidRPr="001D3810">
        <w:rPr>
          <w:rFonts w:cs="Arial"/>
          <w:sz w:val="24"/>
          <w:szCs w:val="24"/>
        </w:rPr>
        <w:t>12</w:t>
      </w:r>
      <w:r w:rsidRPr="001D3810">
        <w:rPr>
          <w:rFonts w:cs="Arial"/>
          <w:sz w:val="24"/>
          <w:szCs w:val="24"/>
        </w:rPr>
        <w:t xml:space="preserve"> puntos </w:t>
      </w:r>
      <w:r w:rsidR="00386EB3" w:rsidRPr="001D3810">
        <w:rPr>
          <w:rFonts w:cs="Arial"/>
          <w:sz w:val="24"/>
          <w:szCs w:val="24"/>
        </w:rPr>
        <w:t>inferior</w:t>
      </w:r>
      <w:r w:rsidRPr="001D3810">
        <w:rPr>
          <w:rFonts w:cs="Arial"/>
          <w:sz w:val="24"/>
          <w:szCs w:val="24"/>
        </w:rPr>
        <w:t xml:space="preserve"> a la media </w:t>
      </w:r>
      <w:r w:rsidR="00386EB3" w:rsidRPr="001D3810">
        <w:rPr>
          <w:rFonts w:cs="Arial"/>
          <w:sz w:val="24"/>
          <w:szCs w:val="24"/>
        </w:rPr>
        <w:t xml:space="preserve">española y 1,62 puntos menor que la del conjunto de la UE). </w:t>
      </w:r>
    </w:p>
    <w:p w:rsidR="00D60A0C" w:rsidRPr="001D3810" w:rsidRDefault="00D60A0C" w:rsidP="004349F4">
      <w:pPr>
        <w:tabs>
          <w:tab w:val="left" w:pos="993"/>
        </w:tabs>
        <w:spacing w:after="0" w:line="240" w:lineRule="auto"/>
        <w:jc w:val="both"/>
        <w:rPr>
          <w:rFonts w:cs="Arial"/>
          <w:sz w:val="24"/>
          <w:szCs w:val="24"/>
        </w:rPr>
      </w:pPr>
    </w:p>
    <w:p w:rsidR="004349F4" w:rsidRPr="001D3810" w:rsidRDefault="00386EB3" w:rsidP="004349F4">
      <w:pPr>
        <w:tabs>
          <w:tab w:val="left" w:pos="993"/>
        </w:tabs>
        <w:spacing w:after="0" w:line="240" w:lineRule="auto"/>
        <w:jc w:val="both"/>
        <w:rPr>
          <w:rFonts w:cs="Arial"/>
          <w:sz w:val="24"/>
          <w:szCs w:val="24"/>
        </w:rPr>
      </w:pPr>
      <w:r w:rsidRPr="001D3810">
        <w:rPr>
          <w:rFonts w:cs="Arial"/>
          <w:sz w:val="24"/>
          <w:szCs w:val="24"/>
        </w:rPr>
        <w:t>Por lo tanto, nos</w:t>
      </w:r>
      <w:r w:rsidR="004349F4" w:rsidRPr="001D3810">
        <w:rPr>
          <w:rFonts w:cs="Arial"/>
          <w:sz w:val="24"/>
          <w:szCs w:val="24"/>
        </w:rPr>
        <w:t xml:space="preserve"> queda</w:t>
      </w:r>
      <w:r w:rsidRPr="001D3810">
        <w:rPr>
          <w:rFonts w:cs="Arial"/>
          <w:sz w:val="24"/>
          <w:szCs w:val="24"/>
        </w:rPr>
        <w:t xml:space="preserve"> mucho</w:t>
      </w:r>
      <w:r w:rsidR="004349F4" w:rsidRPr="001D3810">
        <w:rPr>
          <w:rFonts w:cs="Arial"/>
          <w:sz w:val="24"/>
          <w:szCs w:val="24"/>
        </w:rPr>
        <w:t xml:space="preserve"> margen para alcanzar las tasas de los países con mayor participación laboral femenina (12 países de la UE tienen tasas superiores al 70%). </w:t>
      </w:r>
    </w:p>
    <w:p w:rsidR="004349F4" w:rsidRPr="001D3810" w:rsidRDefault="004349F4" w:rsidP="004349F4">
      <w:pPr>
        <w:tabs>
          <w:tab w:val="left" w:pos="993"/>
        </w:tabs>
        <w:spacing w:after="0" w:line="240" w:lineRule="auto"/>
        <w:jc w:val="both"/>
        <w:rPr>
          <w:rFonts w:cs="Arial"/>
          <w:sz w:val="24"/>
          <w:szCs w:val="24"/>
        </w:rPr>
      </w:pPr>
    </w:p>
    <w:p w:rsidR="004349F4" w:rsidRPr="001D3810" w:rsidRDefault="00536899" w:rsidP="004349F4">
      <w:pPr>
        <w:tabs>
          <w:tab w:val="left" w:pos="993"/>
        </w:tabs>
        <w:spacing w:after="0" w:line="240" w:lineRule="auto"/>
        <w:jc w:val="both"/>
        <w:rPr>
          <w:rFonts w:cs="Arial"/>
          <w:sz w:val="24"/>
          <w:szCs w:val="24"/>
        </w:rPr>
      </w:pPr>
      <w:r w:rsidRPr="001D3810">
        <w:rPr>
          <w:rFonts w:cs="Arial"/>
          <w:sz w:val="24"/>
          <w:szCs w:val="24"/>
        </w:rPr>
        <w:t>A pesar de que</w:t>
      </w:r>
      <w:r w:rsidR="004349F4" w:rsidRPr="001D3810">
        <w:rPr>
          <w:rFonts w:cs="Arial"/>
          <w:sz w:val="24"/>
          <w:szCs w:val="24"/>
        </w:rPr>
        <w:t xml:space="preserve"> el descenso de </w:t>
      </w:r>
      <w:r w:rsidR="00193F1A" w:rsidRPr="001D3810">
        <w:rPr>
          <w:rFonts w:cs="Arial"/>
          <w:sz w:val="24"/>
          <w:szCs w:val="24"/>
        </w:rPr>
        <w:t>la población activa</w:t>
      </w:r>
      <w:r w:rsidR="004349F4" w:rsidRPr="001D3810">
        <w:rPr>
          <w:rFonts w:cs="Arial"/>
          <w:sz w:val="24"/>
          <w:szCs w:val="24"/>
        </w:rPr>
        <w:t xml:space="preserve"> desde el inicio de la crisis es mayoritariamente masculino, del </w:t>
      </w:r>
      <w:r w:rsidR="007D7082" w:rsidRPr="001D3810">
        <w:rPr>
          <w:rFonts w:cs="Arial"/>
          <w:sz w:val="24"/>
          <w:szCs w:val="24"/>
        </w:rPr>
        <w:t>cuarto</w:t>
      </w:r>
      <w:r w:rsidR="004349F4" w:rsidRPr="001D3810">
        <w:rPr>
          <w:rFonts w:cs="Arial"/>
          <w:sz w:val="24"/>
          <w:szCs w:val="24"/>
        </w:rPr>
        <w:t xml:space="preserve"> trimestre de 201</w:t>
      </w:r>
      <w:r w:rsidR="007D7082" w:rsidRPr="001D3810">
        <w:rPr>
          <w:rFonts w:cs="Arial"/>
          <w:sz w:val="24"/>
          <w:szCs w:val="24"/>
        </w:rPr>
        <w:t>2</w:t>
      </w:r>
      <w:r w:rsidR="004349F4" w:rsidRPr="001D3810">
        <w:rPr>
          <w:rFonts w:cs="Arial"/>
          <w:sz w:val="24"/>
          <w:szCs w:val="24"/>
        </w:rPr>
        <w:t xml:space="preserve"> al </w:t>
      </w:r>
      <w:r w:rsidR="007D7082" w:rsidRPr="001D3810">
        <w:rPr>
          <w:rFonts w:cs="Arial"/>
          <w:sz w:val="24"/>
          <w:szCs w:val="24"/>
        </w:rPr>
        <w:t>cuarto</w:t>
      </w:r>
      <w:r w:rsidR="004349F4" w:rsidRPr="001D3810">
        <w:rPr>
          <w:rFonts w:cs="Arial"/>
          <w:sz w:val="24"/>
          <w:szCs w:val="24"/>
        </w:rPr>
        <w:t xml:space="preserve"> de 2017 </w:t>
      </w:r>
      <w:r w:rsidR="004349F4" w:rsidRPr="004D1331">
        <w:rPr>
          <w:rFonts w:cs="Arial"/>
          <w:b/>
          <w:color w:val="4F6228" w:themeColor="accent3" w:themeShade="80"/>
          <w:sz w:val="24"/>
          <w:szCs w:val="24"/>
        </w:rPr>
        <w:t xml:space="preserve">las mujeres activas han descendido en </w:t>
      </w:r>
      <w:r w:rsidR="00C12F68" w:rsidRPr="004D1331">
        <w:rPr>
          <w:rFonts w:cs="Arial"/>
          <w:b/>
          <w:color w:val="4F6228" w:themeColor="accent3" w:themeShade="80"/>
          <w:sz w:val="24"/>
          <w:szCs w:val="24"/>
        </w:rPr>
        <w:t>69</w:t>
      </w:r>
      <w:r w:rsidR="004349F4" w:rsidRPr="004D1331">
        <w:rPr>
          <w:rFonts w:cs="Arial"/>
          <w:b/>
          <w:color w:val="4F6228" w:themeColor="accent3" w:themeShade="80"/>
          <w:sz w:val="24"/>
          <w:szCs w:val="24"/>
        </w:rPr>
        <w:t>.</w:t>
      </w:r>
      <w:r w:rsidR="00C12F68" w:rsidRPr="004D1331">
        <w:rPr>
          <w:rFonts w:cs="Arial"/>
          <w:b/>
          <w:color w:val="4F6228" w:themeColor="accent3" w:themeShade="80"/>
          <w:sz w:val="24"/>
          <w:szCs w:val="24"/>
        </w:rPr>
        <w:t>2</w:t>
      </w:r>
      <w:r w:rsidR="004349F4" w:rsidRPr="004D1331">
        <w:rPr>
          <w:rFonts w:cs="Arial"/>
          <w:b/>
          <w:color w:val="4F6228" w:themeColor="accent3" w:themeShade="80"/>
          <w:sz w:val="24"/>
          <w:szCs w:val="24"/>
        </w:rPr>
        <w:t xml:space="preserve">00, un </w:t>
      </w:r>
      <w:r w:rsidR="00C12F68" w:rsidRPr="004D1331">
        <w:rPr>
          <w:rFonts w:cs="Arial"/>
          <w:b/>
          <w:color w:val="4F6228" w:themeColor="accent3" w:themeShade="80"/>
          <w:sz w:val="24"/>
          <w:szCs w:val="24"/>
        </w:rPr>
        <w:t>3,76</w:t>
      </w:r>
      <w:r w:rsidR="004349F4" w:rsidRPr="004D1331">
        <w:rPr>
          <w:rFonts w:cs="Arial"/>
          <w:b/>
          <w:color w:val="4F6228" w:themeColor="accent3" w:themeShade="80"/>
          <w:sz w:val="24"/>
          <w:szCs w:val="24"/>
        </w:rPr>
        <w:t>%</w:t>
      </w:r>
      <w:r w:rsidR="004349F4" w:rsidRPr="001D3810">
        <w:rPr>
          <w:rFonts w:cs="Arial"/>
          <w:sz w:val="24"/>
          <w:szCs w:val="24"/>
        </w:rPr>
        <w:t xml:space="preserve">. Los </w:t>
      </w:r>
      <w:r w:rsidR="00193F1A" w:rsidRPr="001D3810">
        <w:rPr>
          <w:rFonts w:cs="Arial"/>
          <w:sz w:val="24"/>
          <w:szCs w:val="24"/>
        </w:rPr>
        <w:t xml:space="preserve">varones </w:t>
      </w:r>
      <w:r w:rsidR="004349F4" w:rsidRPr="001D3810">
        <w:rPr>
          <w:rFonts w:cs="Arial"/>
          <w:sz w:val="24"/>
          <w:szCs w:val="24"/>
        </w:rPr>
        <w:t>activos en el mismo período han caído en 4</w:t>
      </w:r>
      <w:r w:rsidR="00C12F68" w:rsidRPr="001D3810">
        <w:rPr>
          <w:rFonts w:cs="Arial"/>
          <w:sz w:val="24"/>
          <w:szCs w:val="24"/>
        </w:rPr>
        <w:t>9</w:t>
      </w:r>
      <w:r w:rsidR="004349F4" w:rsidRPr="001D3810">
        <w:rPr>
          <w:rFonts w:cs="Arial"/>
          <w:sz w:val="24"/>
          <w:szCs w:val="24"/>
        </w:rPr>
        <w:t>.</w:t>
      </w:r>
      <w:r w:rsidR="00C12F68" w:rsidRPr="001D3810">
        <w:rPr>
          <w:rFonts w:cs="Arial"/>
          <w:sz w:val="24"/>
          <w:szCs w:val="24"/>
        </w:rPr>
        <w:t>7</w:t>
      </w:r>
      <w:r w:rsidR="004349F4" w:rsidRPr="001D3810">
        <w:rPr>
          <w:rFonts w:cs="Arial"/>
          <w:sz w:val="24"/>
          <w:szCs w:val="24"/>
        </w:rPr>
        <w:t xml:space="preserve">00, un </w:t>
      </w:r>
      <w:r w:rsidR="00C12F68" w:rsidRPr="001D3810">
        <w:rPr>
          <w:rFonts w:cs="Arial"/>
          <w:sz w:val="24"/>
          <w:szCs w:val="24"/>
        </w:rPr>
        <w:t>2</w:t>
      </w:r>
      <w:r w:rsidR="004349F4" w:rsidRPr="001D3810">
        <w:rPr>
          <w:rFonts w:cs="Arial"/>
          <w:sz w:val="24"/>
          <w:szCs w:val="24"/>
        </w:rPr>
        <w:t>,</w:t>
      </w:r>
      <w:r w:rsidR="00C12F68" w:rsidRPr="001D3810">
        <w:rPr>
          <w:rFonts w:cs="Arial"/>
          <w:sz w:val="24"/>
          <w:szCs w:val="24"/>
        </w:rPr>
        <w:t>25</w:t>
      </w:r>
      <w:r w:rsidR="004349F4" w:rsidRPr="001D3810">
        <w:rPr>
          <w:rFonts w:cs="Arial"/>
          <w:sz w:val="24"/>
          <w:szCs w:val="24"/>
        </w:rPr>
        <w:t xml:space="preserve">%. </w:t>
      </w:r>
    </w:p>
    <w:p w:rsidR="004349F4" w:rsidRPr="001D3810" w:rsidRDefault="004349F4" w:rsidP="004349F4">
      <w:pPr>
        <w:tabs>
          <w:tab w:val="left" w:pos="993"/>
        </w:tabs>
        <w:spacing w:after="0" w:line="240" w:lineRule="auto"/>
        <w:jc w:val="both"/>
        <w:rPr>
          <w:rFonts w:cs="Arial"/>
          <w:sz w:val="24"/>
          <w:szCs w:val="24"/>
        </w:rPr>
      </w:pPr>
    </w:p>
    <w:p w:rsidR="00536899" w:rsidRPr="001D3810" w:rsidRDefault="00536899" w:rsidP="004349F4">
      <w:pPr>
        <w:tabs>
          <w:tab w:val="left" w:pos="993"/>
        </w:tabs>
        <w:spacing w:after="0" w:line="240" w:lineRule="auto"/>
        <w:jc w:val="both"/>
        <w:rPr>
          <w:rFonts w:cs="Arial"/>
          <w:sz w:val="24"/>
          <w:szCs w:val="24"/>
        </w:rPr>
      </w:pPr>
    </w:p>
    <w:p w:rsidR="004349F4" w:rsidRPr="004D1331" w:rsidRDefault="004349F4" w:rsidP="004349F4">
      <w:pPr>
        <w:spacing w:after="0" w:line="240" w:lineRule="auto"/>
        <w:jc w:val="center"/>
        <w:rPr>
          <w:b/>
          <w:i/>
          <w:color w:val="4F6228" w:themeColor="accent3" w:themeShade="80"/>
          <w:sz w:val="28"/>
          <w:szCs w:val="28"/>
        </w:rPr>
      </w:pPr>
      <w:r w:rsidRPr="004D1331">
        <w:rPr>
          <w:b/>
          <w:i/>
          <w:color w:val="4F6228" w:themeColor="accent3" w:themeShade="80"/>
          <w:sz w:val="20"/>
          <w:szCs w:val="28"/>
        </w:rPr>
        <w:t>C</w:t>
      </w:r>
      <w:r w:rsidR="007D7082" w:rsidRPr="004D1331">
        <w:rPr>
          <w:b/>
          <w:i/>
          <w:color w:val="4F6228" w:themeColor="accent3" w:themeShade="80"/>
          <w:sz w:val="20"/>
          <w:szCs w:val="28"/>
        </w:rPr>
        <w:t>6</w:t>
      </w:r>
      <w:r w:rsidRPr="004D1331">
        <w:rPr>
          <w:b/>
          <w:i/>
          <w:color w:val="4F6228" w:themeColor="accent3" w:themeShade="80"/>
          <w:sz w:val="20"/>
          <w:szCs w:val="28"/>
        </w:rPr>
        <w:t xml:space="preserve"> –</w:t>
      </w:r>
      <w:r w:rsidRPr="004D1331">
        <w:rPr>
          <w:b/>
          <w:i/>
          <w:color w:val="4F6228" w:themeColor="accent3" w:themeShade="80"/>
          <w:sz w:val="28"/>
          <w:szCs w:val="28"/>
        </w:rPr>
        <w:t xml:space="preserve"> Evolución del número de personas activas por sexo</w:t>
      </w:r>
    </w:p>
    <w:p w:rsidR="004349F4" w:rsidRPr="004D1331" w:rsidRDefault="004349F4" w:rsidP="004349F4">
      <w:pPr>
        <w:tabs>
          <w:tab w:val="left" w:pos="993"/>
        </w:tabs>
        <w:spacing w:after="0" w:line="240" w:lineRule="auto"/>
        <w:jc w:val="center"/>
        <w:rPr>
          <w:rFonts w:cs="Arial"/>
          <w:b/>
          <w:i/>
          <w:color w:val="4F6228" w:themeColor="accent3" w:themeShade="80"/>
          <w:sz w:val="24"/>
          <w:szCs w:val="24"/>
        </w:rPr>
      </w:pPr>
      <w:r w:rsidRPr="004D1331">
        <w:rPr>
          <w:rFonts w:cs="Arial"/>
          <w:b/>
          <w:i/>
          <w:color w:val="4F6228" w:themeColor="accent3" w:themeShade="80"/>
          <w:sz w:val="24"/>
          <w:szCs w:val="24"/>
        </w:rPr>
        <w:t>En miles</w:t>
      </w:r>
    </w:p>
    <w:tbl>
      <w:tblPr>
        <w:tblStyle w:val="Tablaconcuadrcula"/>
        <w:tblW w:w="0" w:type="auto"/>
        <w:tblLook w:val="04A0"/>
      </w:tblPr>
      <w:tblGrid>
        <w:gridCol w:w="2161"/>
        <w:gridCol w:w="2161"/>
        <w:gridCol w:w="2161"/>
        <w:gridCol w:w="2161"/>
      </w:tblGrid>
      <w:tr w:rsidR="00536899" w:rsidRPr="001D3810" w:rsidTr="00536899">
        <w:tc>
          <w:tcPr>
            <w:tcW w:w="2161" w:type="dxa"/>
          </w:tcPr>
          <w:p w:rsidR="00536899" w:rsidRPr="001D3810" w:rsidRDefault="00536899" w:rsidP="004349F4">
            <w:pPr>
              <w:tabs>
                <w:tab w:val="left" w:pos="993"/>
              </w:tabs>
              <w:jc w:val="center"/>
              <w:rPr>
                <w:rFonts w:cs="Arial"/>
                <w:sz w:val="24"/>
                <w:szCs w:val="24"/>
              </w:rPr>
            </w:pPr>
          </w:p>
        </w:tc>
        <w:tc>
          <w:tcPr>
            <w:tcW w:w="2161" w:type="dxa"/>
            <w:tcBorders>
              <w:bottom w:val="single" w:sz="4" w:space="0" w:color="000000" w:themeColor="text1"/>
            </w:tcBorders>
          </w:tcPr>
          <w:p w:rsidR="00536899" w:rsidRPr="004D1331" w:rsidRDefault="00536899" w:rsidP="004349F4">
            <w:pPr>
              <w:tabs>
                <w:tab w:val="left" w:pos="993"/>
              </w:tabs>
              <w:jc w:val="center"/>
              <w:rPr>
                <w:rFonts w:cs="Arial"/>
                <w:b/>
                <w:color w:val="4F6228" w:themeColor="accent3" w:themeShade="80"/>
                <w:sz w:val="24"/>
                <w:szCs w:val="24"/>
              </w:rPr>
            </w:pPr>
            <w:r w:rsidRPr="004D1331">
              <w:rPr>
                <w:rFonts w:cs="Arial"/>
                <w:b/>
                <w:color w:val="4F6228" w:themeColor="accent3" w:themeShade="80"/>
                <w:sz w:val="24"/>
                <w:szCs w:val="24"/>
              </w:rPr>
              <w:t>AMBOS SEXOS</w:t>
            </w:r>
          </w:p>
        </w:tc>
        <w:tc>
          <w:tcPr>
            <w:tcW w:w="2161" w:type="dxa"/>
            <w:tcBorders>
              <w:bottom w:val="single" w:sz="4" w:space="0" w:color="000000" w:themeColor="text1"/>
            </w:tcBorders>
          </w:tcPr>
          <w:p w:rsidR="00536899" w:rsidRPr="004D1331" w:rsidRDefault="00536899" w:rsidP="004349F4">
            <w:pPr>
              <w:tabs>
                <w:tab w:val="left" w:pos="993"/>
              </w:tabs>
              <w:jc w:val="center"/>
              <w:rPr>
                <w:rFonts w:cs="Arial"/>
                <w:b/>
                <w:color w:val="4F6228" w:themeColor="accent3" w:themeShade="80"/>
                <w:sz w:val="24"/>
                <w:szCs w:val="24"/>
              </w:rPr>
            </w:pPr>
            <w:r w:rsidRPr="004D1331">
              <w:rPr>
                <w:rFonts w:cs="Arial"/>
                <w:b/>
                <w:color w:val="4F6228" w:themeColor="accent3" w:themeShade="80"/>
                <w:sz w:val="24"/>
                <w:szCs w:val="24"/>
              </w:rPr>
              <w:t>HOMBRES</w:t>
            </w:r>
          </w:p>
        </w:tc>
        <w:tc>
          <w:tcPr>
            <w:tcW w:w="2161" w:type="dxa"/>
            <w:tcBorders>
              <w:bottom w:val="single" w:sz="4" w:space="0" w:color="000000" w:themeColor="text1"/>
            </w:tcBorders>
          </w:tcPr>
          <w:p w:rsidR="00536899" w:rsidRPr="004D1331" w:rsidRDefault="00536899" w:rsidP="004349F4">
            <w:pPr>
              <w:tabs>
                <w:tab w:val="left" w:pos="993"/>
              </w:tabs>
              <w:jc w:val="center"/>
              <w:rPr>
                <w:rFonts w:cs="Arial"/>
                <w:b/>
                <w:color w:val="4F6228" w:themeColor="accent3" w:themeShade="80"/>
                <w:sz w:val="24"/>
                <w:szCs w:val="24"/>
              </w:rPr>
            </w:pPr>
            <w:r w:rsidRPr="004D1331">
              <w:rPr>
                <w:rFonts w:cs="Arial"/>
                <w:b/>
                <w:color w:val="4F6228" w:themeColor="accent3" w:themeShade="80"/>
                <w:sz w:val="24"/>
                <w:szCs w:val="24"/>
              </w:rPr>
              <w:t>MUJERES</w:t>
            </w:r>
          </w:p>
        </w:tc>
      </w:tr>
      <w:tr w:rsidR="00536899" w:rsidRPr="001D3810" w:rsidTr="00536899">
        <w:tc>
          <w:tcPr>
            <w:tcW w:w="2161" w:type="dxa"/>
          </w:tcPr>
          <w:p w:rsidR="00536899" w:rsidRPr="004D1331" w:rsidRDefault="00536899" w:rsidP="004349F4">
            <w:pPr>
              <w:tabs>
                <w:tab w:val="left" w:pos="993"/>
              </w:tabs>
              <w:jc w:val="center"/>
              <w:rPr>
                <w:rFonts w:cs="Arial"/>
                <w:b/>
                <w:color w:val="4F6228" w:themeColor="accent3" w:themeShade="80"/>
                <w:sz w:val="24"/>
                <w:szCs w:val="24"/>
              </w:rPr>
            </w:pPr>
            <w:r w:rsidRPr="004D1331">
              <w:rPr>
                <w:rFonts w:cs="Arial"/>
                <w:b/>
                <w:color w:val="4F6228" w:themeColor="accent3" w:themeShade="80"/>
                <w:sz w:val="24"/>
                <w:szCs w:val="24"/>
              </w:rPr>
              <w:t>IVT2017-IVT2012</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-118,9</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-49,7</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-69,2</w:t>
            </w:r>
          </w:p>
        </w:tc>
      </w:tr>
      <w:tr w:rsidR="00536899" w:rsidRPr="001D3810" w:rsidTr="00536899">
        <w:tc>
          <w:tcPr>
            <w:tcW w:w="2161" w:type="dxa"/>
          </w:tcPr>
          <w:p w:rsidR="00536899" w:rsidRPr="004D1331" w:rsidRDefault="00536899" w:rsidP="004349F4">
            <w:pPr>
              <w:tabs>
                <w:tab w:val="left" w:pos="993"/>
              </w:tabs>
              <w:jc w:val="center"/>
              <w:rPr>
                <w:rFonts w:cs="Arial"/>
                <w:b/>
                <w:color w:val="4F6228" w:themeColor="accent3" w:themeShade="80"/>
                <w:sz w:val="24"/>
                <w:szCs w:val="24"/>
              </w:rPr>
            </w:pPr>
            <w:r w:rsidRPr="004D1331">
              <w:rPr>
                <w:rFonts w:cs="Arial"/>
                <w:b/>
                <w:color w:val="4F6228" w:themeColor="accent3" w:themeShade="80"/>
                <w:sz w:val="24"/>
                <w:szCs w:val="24"/>
              </w:rPr>
              <w:t>IVT2017-IVT2008</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28,4</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-93,5</w:t>
            </w:r>
          </w:p>
        </w:tc>
        <w:tc>
          <w:tcPr>
            <w:tcW w:w="2161" w:type="dxa"/>
            <w:shd w:val="clear" w:color="auto" w:fill="BFBFBF" w:themeFill="background1" w:themeFillShade="BF"/>
          </w:tcPr>
          <w:p w:rsidR="00536899" w:rsidRPr="001D3810" w:rsidRDefault="00536899" w:rsidP="004349F4">
            <w:pPr>
              <w:tabs>
                <w:tab w:val="left" w:pos="993"/>
              </w:tabs>
              <w:jc w:val="center"/>
              <w:rPr>
                <w:rFonts w:cs="Arial"/>
                <w:sz w:val="24"/>
                <w:szCs w:val="24"/>
              </w:rPr>
            </w:pPr>
            <w:r w:rsidRPr="001D3810">
              <w:rPr>
                <w:rFonts w:cs="Arial"/>
                <w:sz w:val="24"/>
                <w:szCs w:val="24"/>
              </w:rPr>
              <w:t>121,8</w:t>
            </w:r>
          </w:p>
        </w:tc>
      </w:tr>
    </w:tbl>
    <w:p w:rsidR="004349F4" w:rsidRPr="004D1331" w:rsidRDefault="004349F4" w:rsidP="004349F4">
      <w:pPr>
        <w:widowControl w:val="0"/>
        <w:tabs>
          <w:tab w:val="left" w:pos="4830"/>
        </w:tabs>
        <w:spacing w:after="0" w:line="240" w:lineRule="auto"/>
        <w:ind w:firstLine="1701"/>
        <w:jc w:val="both"/>
        <w:rPr>
          <w:rFonts w:ascii="Calibri" w:eastAsia="Times New Roman" w:hAnsi="Calibri" w:cs="Calibri"/>
          <w:i/>
          <w:color w:val="4F6228" w:themeColor="accent3" w:themeShade="80"/>
          <w:sz w:val="18"/>
          <w:szCs w:val="20"/>
          <w:lang w:eastAsia="es-ES"/>
        </w:rPr>
      </w:pPr>
      <w:r w:rsidRPr="004D1331">
        <w:rPr>
          <w:rFonts w:ascii="Calibri" w:eastAsia="Times New Roman" w:hAnsi="Calibri" w:cs="Calibri"/>
          <w:i/>
          <w:color w:val="4F6228" w:themeColor="accent3" w:themeShade="80"/>
          <w:sz w:val="18"/>
          <w:szCs w:val="20"/>
          <w:lang w:eastAsia="es-ES"/>
        </w:rPr>
        <w:t>Fuente: EPA. INE</w:t>
      </w:r>
    </w:p>
    <w:p w:rsidR="004349F4" w:rsidRDefault="004349F4" w:rsidP="004349F4">
      <w:pPr>
        <w:tabs>
          <w:tab w:val="left" w:pos="993"/>
        </w:tabs>
        <w:spacing w:after="0" w:line="240" w:lineRule="auto"/>
        <w:jc w:val="both"/>
        <w:rPr>
          <w:rFonts w:cs="Arial"/>
          <w:sz w:val="24"/>
          <w:szCs w:val="24"/>
        </w:rPr>
      </w:pPr>
    </w:p>
    <w:p w:rsidR="004D1331" w:rsidRPr="001D3810" w:rsidRDefault="004D1331" w:rsidP="004349F4">
      <w:pPr>
        <w:tabs>
          <w:tab w:val="left" w:pos="993"/>
        </w:tabs>
        <w:spacing w:after="0" w:line="240" w:lineRule="auto"/>
        <w:jc w:val="both"/>
        <w:rPr>
          <w:rFonts w:cs="Arial"/>
          <w:sz w:val="24"/>
          <w:szCs w:val="24"/>
        </w:rPr>
      </w:pPr>
    </w:p>
    <w:p w:rsidR="004349F4" w:rsidRPr="001D3810" w:rsidRDefault="00536899" w:rsidP="004349F4">
      <w:pPr>
        <w:tabs>
          <w:tab w:val="left" w:pos="993"/>
        </w:tabs>
        <w:spacing w:after="0" w:line="240" w:lineRule="auto"/>
        <w:jc w:val="both"/>
        <w:rPr>
          <w:rFonts w:cs="Arial"/>
          <w:sz w:val="24"/>
          <w:szCs w:val="24"/>
        </w:rPr>
      </w:pPr>
      <w:r w:rsidRPr="001D3810">
        <w:rPr>
          <w:rFonts w:cs="Arial"/>
          <w:sz w:val="24"/>
          <w:szCs w:val="24"/>
        </w:rPr>
        <w:t>E</w:t>
      </w:r>
      <w:r w:rsidR="00341276" w:rsidRPr="001D3810">
        <w:rPr>
          <w:rFonts w:cs="Arial"/>
          <w:sz w:val="24"/>
          <w:szCs w:val="24"/>
        </w:rPr>
        <w:t xml:space="preserve">l </w:t>
      </w:r>
      <w:r w:rsidR="004349F4" w:rsidRPr="001D3810">
        <w:rPr>
          <w:rFonts w:cs="Arial"/>
          <w:sz w:val="24"/>
          <w:szCs w:val="24"/>
        </w:rPr>
        <w:t xml:space="preserve">aumento del empleo </w:t>
      </w:r>
      <w:r w:rsidR="00341276" w:rsidRPr="001D3810">
        <w:rPr>
          <w:rFonts w:cs="Arial"/>
          <w:sz w:val="24"/>
          <w:szCs w:val="24"/>
        </w:rPr>
        <w:t xml:space="preserve">que se está registrando desde </w:t>
      </w:r>
      <w:r w:rsidR="004349F4" w:rsidRPr="001D3810">
        <w:rPr>
          <w:rFonts w:cs="Arial"/>
          <w:sz w:val="24"/>
          <w:szCs w:val="24"/>
        </w:rPr>
        <w:t xml:space="preserve">el segundo trimestre de 2014 </w:t>
      </w:r>
      <w:r w:rsidR="00341276" w:rsidRPr="001D3810">
        <w:rPr>
          <w:rFonts w:cs="Arial"/>
          <w:sz w:val="24"/>
          <w:szCs w:val="24"/>
        </w:rPr>
        <w:t>comenzó sien</w:t>
      </w:r>
      <w:r w:rsidRPr="001D3810">
        <w:rPr>
          <w:rFonts w:cs="Arial"/>
          <w:sz w:val="24"/>
          <w:szCs w:val="24"/>
        </w:rPr>
        <w:t>do más intenso para los hombres y,</w:t>
      </w:r>
      <w:r w:rsidR="00341276" w:rsidRPr="001D3810">
        <w:rPr>
          <w:rFonts w:cs="Arial"/>
          <w:sz w:val="24"/>
          <w:szCs w:val="24"/>
        </w:rPr>
        <w:t xml:space="preserve"> desde 2016</w:t>
      </w:r>
      <w:r w:rsidRPr="001D3810">
        <w:rPr>
          <w:rFonts w:cs="Arial"/>
          <w:sz w:val="24"/>
          <w:szCs w:val="24"/>
        </w:rPr>
        <w:t>, apenas si</w:t>
      </w:r>
      <w:r w:rsidR="00341276" w:rsidRPr="001D3810">
        <w:rPr>
          <w:rFonts w:cs="Arial"/>
          <w:sz w:val="24"/>
          <w:szCs w:val="24"/>
        </w:rPr>
        <w:t xml:space="preserve"> se ha equilibrado </w:t>
      </w:r>
      <w:r w:rsidRPr="001D3810">
        <w:rPr>
          <w:rFonts w:cs="Arial"/>
          <w:sz w:val="24"/>
          <w:szCs w:val="24"/>
        </w:rPr>
        <w:t>levemente</w:t>
      </w:r>
      <w:r w:rsidR="00341276" w:rsidRPr="001D3810">
        <w:rPr>
          <w:rFonts w:cs="Arial"/>
          <w:sz w:val="24"/>
          <w:szCs w:val="24"/>
        </w:rPr>
        <w:t xml:space="preserve"> para</w:t>
      </w:r>
      <w:r w:rsidR="004349F4" w:rsidRPr="001D3810">
        <w:rPr>
          <w:rFonts w:cs="Arial"/>
          <w:sz w:val="24"/>
          <w:szCs w:val="24"/>
        </w:rPr>
        <w:t xml:space="preserve"> ambos sexos. En es</w:t>
      </w:r>
      <w:r w:rsidRPr="001D3810">
        <w:rPr>
          <w:rFonts w:cs="Arial"/>
          <w:sz w:val="24"/>
          <w:szCs w:val="24"/>
        </w:rPr>
        <w:t>t</w:t>
      </w:r>
      <w:r w:rsidR="004349F4" w:rsidRPr="001D3810">
        <w:rPr>
          <w:rFonts w:cs="Arial"/>
          <w:sz w:val="24"/>
          <w:szCs w:val="24"/>
        </w:rPr>
        <w:t>e</w:t>
      </w:r>
      <w:r w:rsidRPr="001D3810">
        <w:rPr>
          <w:rFonts w:cs="Arial"/>
          <w:sz w:val="24"/>
          <w:szCs w:val="24"/>
        </w:rPr>
        <w:t xml:space="preserve"> último</w:t>
      </w:r>
      <w:r w:rsidR="004349F4" w:rsidRPr="001D3810">
        <w:rPr>
          <w:rFonts w:cs="Arial"/>
          <w:sz w:val="24"/>
          <w:szCs w:val="24"/>
        </w:rPr>
        <w:t xml:space="preserve"> período el número de ocupados ha crecido en un </w:t>
      </w:r>
      <w:r w:rsidRPr="001D3810">
        <w:rPr>
          <w:rFonts w:cs="Arial"/>
          <w:sz w:val="24"/>
          <w:szCs w:val="24"/>
        </w:rPr>
        <w:t>6</w:t>
      </w:r>
      <w:r w:rsidR="00341276" w:rsidRPr="001D3810">
        <w:rPr>
          <w:rFonts w:cs="Arial"/>
          <w:sz w:val="24"/>
          <w:szCs w:val="24"/>
        </w:rPr>
        <w:t>,</w:t>
      </w:r>
      <w:r w:rsidRPr="001D3810">
        <w:rPr>
          <w:rFonts w:cs="Arial"/>
          <w:sz w:val="24"/>
          <w:szCs w:val="24"/>
        </w:rPr>
        <w:t>35</w:t>
      </w:r>
      <w:r w:rsidR="004349F4" w:rsidRPr="001D3810">
        <w:rPr>
          <w:rFonts w:cs="Arial"/>
          <w:sz w:val="24"/>
          <w:szCs w:val="24"/>
        </w:rPr>
        <w:t xml:space="preserve">%, mientras que el de ocupadas lo ha hecho en un </w:t>
      </w:r>
      <w:r w:rsidRPr="001D3810">
        <w:rPr>
          <w:rFonts w:cs="Arial"/>
          <w:sz w:val="24"/>
          <w:szCs w:val="24"/>
        </w:rPr>
        <w:t>4</w:t>
      </w:r>
      <w:r w:rsidR="00341276" w:rsidRPr="001D3810">
        <w:rPr>
          <w:rFonts w:cs="Arial"/>
          <w:sz w:val="24"/>
          <w:szCs w:val="24"/>
        </w:rPr>
        <w:t>,</w:t>
      </w:r>
      <w:r w:rsidRPr="001D3810">
        <w:rPr>
          <w:rFonts w:cs="Arial"/>
          <w:sz w:val="24"/>
          <w:szCs w:val="24"/>
        </w:rPr>
        <w:t>16</w:t>
      </w:r>
      <w:r w:rsidR="004349F4" w:rsidRPr="001D3810">
        <w:rPr>
          <w:rFonts w:cs="Arial"/>
          <w:sz w:val="24"/>
          <w:szCs w:val="24"/>
        </w:rPr>
        <w:t xml:space="preserve">%. </w:t>
      </w:r>
      <w:r w:rsidR="00341276" w:rsidRPr="001D3810">
        <w:rPr>
          <w:rFonts w:cs="Arial"/>
          <w:sz w:val="24"/>
          <w:szCs w:val="24"/>
        </w:rPr>
        <w:t xml:space="preserve">En el cuarto trimestre de 2017 las variaciones anuales </w:t>
      </w:r>
      <w:r w:rsidRPr="001D3810">
        <w:rPr>
          <w:rFonts w:cs="Arial"/>
          <w:sz w:val="24"/>
          <w:szCs w:val="24"/>
        </w:rPr>
        <w:t>sí han sido ya</w:t>
      </w:r>
      <w:r w:rsidR="00341276" w:rsidRPr="001D3810">
        <w:rPr>
          <w:rFonts w:cs="Arial"/>
          <w:sz w:val="24"/>
          <w:szCs w:val="24"/>
        </w:rPr>
        <w:t xml:space="preserve"> muy similares (</w:t>
      </w:r>
      <w:r w:rsidRPr="001D3810">
        <w:rPr>
          <w:rFonts w:cs="Arial"/>
          <w:sz w:val="24"/>
          <w:szCs w:val="24"/>
        </w:rPr>
        <w:t>4</w:t>
      </w:r>
      <w:r w:rsidR="00341276" w:rsidRPr="001D3810">
        <w:rPr>
          <w:rFonts w:cs="Arial"/>
          <w:sz w:val="24"/>
          <w:szCs w:val="24"/>
        </w:rPr>
        <w:t>,</w:t>
      </w:r>
      <w:r w:rsidRPr="001D3810">
        <w:rPr>
          <w:rFonts w:cs="Arial"/>
          <w:sz w:val="24"/>
          <w:szCs w:val="24"/>
        </w:rPr>
        <w:t>42</w:t>
      </w:r>
      <w:r w:rsidR="00341276" w:rsidRPr="001D3810">
        <w:rPr>
          <w:rFonts w:cs="Arial"/>
          <w:sz w:val="24"/>
          <w:szCs w:val="24"/>
        </w:rPr>
        <w:t xml:space="preserve">% para los hombres y </w:t>
      </w:r>
      <w:r w:rsidRPr="001D3810">
        <w:rPr>
          <w:rFonts w:cs="Arial"/>
          <w:sz w:val="24"/>
          <w:szCs w:val="24"/>
        </w:rPr>
        <w:t>4</w:t>
      </w:r>
      <w:r w:rsidR="00341276" w:rsidRPr="001D3810">
        <w:rPr>
          <w:rFonts w:cs="Arial"/>
          <w:sz w:val="24"/>
          <w:szCs w:val="24"/>
        </w:rPr>
        <w:t>,</w:t>
      </w:r>
      <w:r w:rsidRPr="001D3810">
        <w:rPr>
          <w:rFonts w:cs="Arial"/>
          <w:sz w:val="24"/>
          <w:szCs w:val="24"/>
        </w:rPr>
        <w:t>4</w:t>
      </w:r>
      <w:r w:rsidR="00341276" w:rsidRPr="001D3810">
        <w:rPr>
          <w:rFonts w:cs="Arial"/>
          <w:sz w:val="24"/>
          <w:szCs w:val="24"/>
        </w:rPr>
        <w:t>6% para las mujeres).</w:t>
      </w:r>
    </w:p>
    <w:p w:rsidR="004349F4" w:rsidRPr="001D3810" w:rsidRDefault="004349F4" w:rsidP="004349F4">
      <w:pPr>
        <w:tabs>
          <w:tab w:val="left" w:pos="993"/>
        </w:tabs>
        <w:spacing w:after="0" w:line="240" w:lineRule="auto"/>
        <w:jc w:val="both"/>
        <w:rPr>
          <w:rFonts w:cs="Arial"/>
          <w:sz w:val="24"/>
          <w:szCs w:val="24"/>
        </w:rPr>
      </w:pPr>
    </w:p>
    <w:p w:rsidR="00536899" w:rsidRPr="001D3810" w:rsidRDefault="00536899" w:rsidP="004349F4">
      <w:pPr>
        <w:tabs>
          <w:tab w:val="left" w:pos="993"/>
        </w:tabs>
        <w:spacing w:after="0" w:line="240" w:lineRule="auto"/>
        <w:jc w:val="both"/>
        <w:rPr>
          <w:rFonts w:cs="Arial"/>
          <w:sz w:val="24"/>
          <w:szCs w:val="24"/>
        </w:rPr>
      </w:pPr>
    </w:p>
    <w:p w:rsidR="00ED14F7" w:rsidRPr="001D3810" w:rsidRDefault="00ED14F7" w:rsidP="004349F4">
      <w:pPr>
        <w:tabs>
          <w:tab w:val="left" w:pos="993"/>
        </w:tabs>
        <w:spacing w:after="0" w:line="240" w:lineRule="auto"/>
        <w:jc w:val="both"/>
        <w:rPr>
          <w:rFonts w:cs="Arial"/>
          <w:sz w:val="24"/>
          <w:szCs w:val="24"/>
        </w:rPr>
      </w:pPr>
    </w:p>
    <w:p w:rsidR="00ED14F7" w:rsidRPr="001D3810" w:rsidRDefault="00ED14F7" w:rsidP="004349F4">
      <w:pPr>
        <w:tabs>
          <w:tab w:val="left" w:pos="993"/>
        </w:tabs>
        <w:spacing w:after="0" w:line="240" w:lineRule="auto"/>
        <w:jc w:val="both"/>
        <w:rPr>
          <w:rFonts w:cs="Arial"/>
          <w:sz w:val="24"/>
          <w:szCs w:val="24"/>
        </w:rPr>
      </w:pPr>
    </w:p>
    <w:p w:rsidR="004349F4" w:rsidRPr="001D3810" w:rsidRDefault="004349F4" w:rsidP="004349F4">
      <w:pPr>
        <w:tabs>
          <w:tab w:val="left" w:pos="993"/>
        </w:tabs>
        <w:spacing w:after="0" w:line="240" w:lineRule="auto"/>
        <w:jc w:val="both"/>
        <w:rPr>
          <w:rFonts w:cs="Arial"/>
          <w:sz w:val="24"/>
          <w:szCs w:val="24"/>
        </w:rPr>
      </w:pPr>
      <w:r w:rsidRPr="001D3810">
        <w:rPr>
          <w:rFonts w:cs="Arial"/>
          <w:sz w:val="24"/>
          <w:szCs w:val="24"/>
        </w:rPr>
        <w:t xml:space="preserve">Por tipo de contrato, </w:t>
      </w:r>
      <w:r w:rsidRPr="004D1331">
        <w:rPr>
          <w:rFonts w:cs="Arial"/>
          <w:b/>
          <w:color w:val="4F6228" w:themeColor="accent3" w:themeShade="80"/>
          <w:sz w:val="24"/>
          <w:szCs w:val="24"/>
        </w:rPr>
        <w:t>el empleo generado para las mujeres e</w:t>
      </w:r>
      <w:r w:rsidR="002A5435" w:rsidRPr="004D1331">
        <w:rPr>
          <w:rFonts w:cs="Arial"/>
          <w:b/>
          <w:color w:val="4F6228" w:themeColor="accent3" w:themeShade="80"/>
          <w:sz w:val="24"/>
          <w:szCs w:val="24"/>
        </w:rPr>
        <w:t>s</w:t>
      </w:r>
      <w:r w:rsidRPr="004D1331">
        <w:rPr>
          <w:rFonts w:cs="Arial"/>
          <w:b/>
          <w:color w:val="4F6228" w:themeColor="accent3" w:themeShade="80"/>
          <w:sz w:val="24"/>
          <w:szCs w:val="24"/>
        </w:rPr>
        <w:t xml:space="preserve"> más temporal que el de los hombres</w:t>
      </w:r>
      <w:r w:rsidRPr="004D1331">
        <w:rPr>
          <w:rFonts w:cs="Arial"/>
          <w:color w:val="4F6228" w:themeColor="accent3" w:themeShade="80"/>
          <w:sz w:val="24"/>
          <w:szCs w:val="24"/>
        </w:rPr>
        <w:t>.</w:t>
      </w:r>
      <w:r w:rsidRPr="001D3810">
        <w:rPr>
          <w:rFonts w:cs="Arial"/>
          <w:sz w:val="24"/>
          <w:szCs w:val="24"/>
        </w:rPr>
        <w:t xml:space="preserve"> </w:t>
      </w:r>
      <w:r w:rsidR="00B90E6A" w:rsidRPr="001D3810">
        <w:rPr>
          <w:rFonts w:cs="Arial"/>
          <w:sz w:val="24"/>
          <w:szCs w:val="24"/>
        </w:rPr>
        <w:t>Desde el</w:t>
      </w:r>
      <w:r w:rsidRPr="001D3810">
        <w:rPr>
          <w:rFonts w:cs="Arial"/>
          <w:sz w:val="24"/>
          <w:szCs w:val="24"/>
        </w:rPr>
        <w:t xml:space="preserve"> primer trimestre de 2014 al primero de 2017</w:t>
      </w:r>
      <w:r w:rsidR="00B90E6A" w:rsidRPr="001D3810">
        <w:rPr>
          <w:rFonts w:cs="Arial"/>
          <w:sz w:val="24"/>
          <w:szCs w:val="24"/>
        </w:rPr>
        <w:t xml:space="preserve"> (</w:t>
      </w:r>
      <w:r w:rsidRPr="001D3810">
        <w:rPr>
          <w:rFonts w:cs="Arial"/>
          <w:sz w:val="24"/>
          <w:szCs w:val="24"/>
        </w:rPr>
        <w:t>que coincide con la etapa de creación</w:t>
      </w:r>
      <w:r w:rsidR="00B90E6A" w:rsidRPr="001D3810">
        <w:rPr>
          <w:rFonts w:cs="Arial"/>
          <w:sz w:val="24"/>
          <w:szCs w:val="24"/>
        </w:rPr>
        <w:t xml:space="preserve"> de empleo), el 4</w:t>
      </w:r>
      <w:r w:rsidR="00D93D85" w:rsidRPr="001D3810">
        <w:rPr>
          <w:rFonts w:cs="Arial"/>
          <w:sz w:val="24"/>
          <w:szCs w:val="24"/>
        </w:rPr>
        <w:t>6,65</w:t>
      </w:r>
      <w:r w:rsidRPr="001D3810">
        <w:rPr>
          <w:rFonts w:cs="Arial"/>
          <w:sz w:val="24"/>
          <w:szCs w:val="24"/>
        </w:rPr>
        <w:t xml:space="preserve">% del empleo asalariado masculino creado ha sido temporal, mientras que en el caso de las mujeres se eleva al </w:t>
      </w:r>
      <w:r w:rsidR="00D93D85" w:rsidRPr="001D3810">
        <w:rPr>
          <w:rFonts w:cs="Arial"/>
          <w:sz w:val="24"/>
          <w:szCs w:val="24"/>
        </w:rPr>
        <w:t>4</w:t>
      </w:r>
      <w:r w:rsidRPr="001D3810">
        <w:rPr>
          <w:rFonts w:cs="Arial"/>
          <w:sz w:val="24"/>
          <w:szCs w:val="24"/>
        </w:rPr>
        <w:t>5,</w:t>
      </w:r>
      <w:r w:rsidR="00D93D85" w:rsidRPr="001D3810">
        <w:rPr>
          <w:rFonts w:cs="Arial"/>
          <w:sz w:val="24"/>
          <w:szCs w:val="24"/>
        </w:rPr>
        <w:t>81</w:t>
      </w:r>
      <w:r w:rsidRPr="001D3810">
        <w:rPr>
          <w:rFonts w:cs="Arial"/>
          <w:sz w:val="24"/>
          <w:szCs w:val="24"/>
        </w:rPr>
        <w:t xml:space="preserve">%. Esto ha provocado un </w:t>
      </w:r>
      <w:r w:rsidR="00D93D85" w:rsidRPr="001D3810">
        <w:rPr>
          <w:rFonts w:cs="Arial"/>
          <w:sz w:val="24"/>
          <w:szCs w:val="24"/>
        </w:rPr>
        <w:t>recorte</w:t>
      </w:r>
      <w:r w:rsidRPr="001D3810">
        <w:rPr>
          <w:rFonts w:cs="Arial"/>
          <w:sz w:val="24"/>
          <w:szCs w:val="24"/>
        </w:rPr>
        <w:t xml:space="preserve"> en la diferencia entre las tasas de temporalidad por sexo, perjudicando a la femenina: si en 2015 este </w:t>
      </w:r>
      <w:r w:rsidRPr="001D3810">
        <w:rPr>
          <w:rFonts w:cs="Arial"/>
          <w:i/>
          <w:sz w:val="24"/>
          <w:szCs w:val="24"/>
        </w:rPr>
        <w:t>gap</w:t>
      </w:r>
      <w:r w:rsidRPr="001D3810">
        <w:rPr>
          <w:rFonts w:cs="Arial"/>
          <w:sz w:val="24"/>
          <w:szCs w:val="24"/>
        </w:rPr>
        <w:t xml:space="preserve"> alcanzó su nivel </w:t>
      </w:r>
      <w:r w:rsidR="00D93D85" w:rsidRPr="001D3810">
        <w:rPr>
          <w:rFonts w:cs="Arial"/>
          <w:sz w:val="24"/>
          <w:szCs w:val="24"/>
        </w:rPr>
        <w:t>máxi</w:t>
      </w:r>
      <w:r w:rsidRPr="001D3810">
        <w:rPr>
          <w:rFonts w:cs="Arial"/>
          <w:sz w:val="24"/>
          <w:szCs w:val="24"/>
        </w:rPr>
        <w:t>mo (</w:t>
      </w:r>
      <w:r w:rsidR="00D93D85" w:rsidRPr="001D3810">
        <w:rPr>
          <w:rFonts w:cs="Arial"/>
          <w:sz w:val="24"/>
          <w:szCs w:val="24"/>
        </w:rPr>
        <w:t>1</w:t>
      </w:r>
      <w:r w:rsidRPr="001D3810">
        <w:rPr>
          <w:rFonts w:cs="Arial"/>
          <w:sz w:val="24"/>
          <w:szCs w:val="24"/>
        </w:rPr>
        <w:t>,</w:t>
      </w:r>
      <w:r w:rsidR="00D93D85" w:rsidRPr="001D3810">
        <w:rPr>
          <w:rFonts w:cs="Arial"/>
          <w:sz w:val="24"/>
          <w:szCs w:val="24"/>
        </w:rPr>
        <w:t>3</w:t>
      </w:r>
      <w:r w:rsidRPr="001D3810">
        <w:rPr>
          <w:rFonts w:cs="Arial"/>
          <w:sz w:val="24"/>
          <w:szCs w:val="24"/>
        </w:rPr>
        <w:t xml:space="preserve"> puntos porcentuales), en el </w:t>
      </w:r>
      <w:r w:rsidR="00B90E6A" w:rsidRPr="001D3810">
        <w:rPr>
          <w:rFonts w:cs="Arial"/>
          <w:sz w:val="24"/>
          <w:szCs w:val="24"/>
        </w:rPr>
        <w:t>cuarto</w:t>
      </w:r>
      <w:r w:rsidRPr="001D3810">
        <w:rPr>
          <w:rFonts w:cs="Arial"/>
          <w:sz w:val="24"/>
          <w:szCs w:val="24"/>
        </w:rPr>
        <w:t xml:space="preserve"> trimestre de 2017 es</w:t>
      </w:r>
      <w:r w:rsidR="00D93D85" w:rsidRPr="001D3810">
        <w:rPr>
          <w:rFonts w:cs="Arial"/>
          <w:sz w:val="24"/>
          <w:szCs w:val="24"/>
        </w:rPr>
        <w:t xml:space="preserve"> ya solo</w:t>
      </w:r>
      <w:r w:rsidRPr="001D3810">
        <w:rPr>
          <w:rFonts w:cs="Arial"/>
          <w:sz w:val="24"/>
          <w:szCs w:val="24"/>
        </w:rPr>
        <w:t xml:space="preserve"> de </w:t>
      </w:r>
      <w:r w:rsidR="00D93D85" w:rsidRPr="001D3810">
        <w:rPr>
          <w:rFonts w:cs="Arial"/>
          <w:sz w:val="24"/>
          <w:szCs w:val="24"/>
        </w:rPr>
        <w:t>0</w:t>
      </w:r>
      <w:r w:rsidRPr="001D3810">
        <w:rPr>
          <w:rFonts w:cs="Arial"/>
          <w:sz w:val="24"/>
          <w:szCs w:val="24"/>
        </w:rPr>
        <w:t>,</w:t>
      </w:r>
      <w:r w:rsidR="00D93D85" w:rsidRPr="001D3810">
        <w:rPr>
          <w:rFonts w:cs="Arial"/>
          <w:sz w:val="24"/>
          <w:szCs w:val="24"/>
        </w:rPr>
        <w:t>1</w:t>
      </w:r>
      <w:r w:rsidRPr="001D3810">
        <w:rPr>
          <w:rFonts w:cs="Arial"/>
          <w:sz w:val="24"/>
          <w:szCs w:val="24"/>
        </w:rPr>
        <w:t xml:space="preserve"> puntos (</w:t>
      </w:r>
      <w:r w:rsidR="00D93D85" w:rsidRPr="001D3810">
        <w:rPr>
          <w:rFonts w:cs="Arial"/>
          <w:sz w:val="24"/>
          <w:szCs w:val="24"/>
        </w:rPr>
        <w:t>35</w:t>
      </w:r>
      <w:r w:rsidR="00B90E6A" w:rsidRPr="001D3810">
        <w:rPr>
          <w:rFonts w:cs="Arial"/>
          <w:sz w:val="24"/>
          <w:szCs w:val="24"/>
        </w:rPr>
        <w:t>,7</w:t>
      </w:r>
      <w:r w:rsidRPr="001D3810">
        <w:rPr>
          <w:rFonts w:cs="Arial"/>
          <w:sz w:val="24"/>
          <w:szCs w:val="24"/>
        </w:rPr>
        <w:t>%</w:t>
      </w:r>
      <w:r w:rsidR="00D93D85" w:rsidRPr="001D3810">
        <w:rPr>
          <w:rFonts w:cs="Arial"/>
          <w:sz w:val="24"/>
          <w:szCs w:val="24"/>
        </w:rPr>
        <w:t xml:space="preserve"> los hombres</w:t>
      </w:r>
      <w:r w:rsidRPr="001D3810">
        <w:rPr>
          <w:rFonts w:cs="Arial"/>
          <w:sz w:val="24"/>
          <w:szCs w:val="24"/>
        </w:rPr>
        <w:t xml:space="preserve"> frente a </w:t>
      </w:r>
      <w:r w:rsidR="00D93D85" w:rsidRPr="001D3810">
        <w:rPr>
          <w:rFonts w:cs="Arial"/>
          <w:sz w:val="24"/>
          <w:szCs w:val="24"/>
        </w:rPr>
        <w:t>35</w:t>
      </w:r>
      <w:r w:rsidR="00B90E6A" w:rsidRPr="001D3810">
        <w:rPr>
          <w:rFonts w:cs="Arial"/>
          <w:sz w:val="24"/>
          <w:szCs w:val="24"/>
        </w:rPr>
        <w:t>,</w:t>
      </w:r>
      <w:r w:rsidR="00D93D85" w:rsidRPr="001D3810">
        <w:rPr>
          <w:rFonts w:cs="Arial"/>
          <w:sz w:val="24"/>
          <w:szCs w:val="24"/>
        </w:rPr>
        <w:t>6</w:t>
      </w:r>
      <w:r w:rsidRPr="001D3810">
        <w:rPr>
          <w:rFonts w:cs="Arial"/>
          <w:sz w:val="24"/>
          <w:szCs w:val="24"/>
        </w:rPr>
        <w:t>%</w:t>
      </w:r>
      <w:r w:rsidR="00D93D85" w:rsidRPr="001D3810">
        <w:rPr>
          <w:rFonts w:cs="Arial"/>
          <w:sz w:val="24"/>
          <w:szCs w:val="24"/>
        </w:rPr>
        <w:t xml:space="preserve"> las mujeres</w:t>
      </w:r>
      <w:r w:rsidRPr="001D3810">
        <w:rPr>
          <w:rFonts w:cs="Arial"/>
          <w:sz w:val="24"/>
          <w:szCs w:val="24"/>
        </w:rPr>
        <w:t xml:space="preserve">). </w:t>
      </w:r>
    </w:p>
    <w:p w:rsidR="004349F4" w:rsidRPr="001D3810" w:rsidRDefault="004349F4" w:rsidP="004349F4">
      <w:pPr>
        <w:tabs>
          <w:tab w:val="left" w:pos="993"/>
        </w:tabs>
        <w:spacing w:after="0" w:line="240" w:lineRule="auto"/>
        <w:jc w:val="both"/>
        <w:rPr>
          <w:rFonts w:cs="Arial"/>
          <w:sz w:val="24"/>
          <w:szCs w:val="24"/>
        </w:rPr>
      </w:pPr>
    </w:p>
    <w:p w:rsidR="002F6114" w:rsidRPr="001D3810" w:rsidRDefault="004349F4" w:rsidP="004349F4">
      <w:pPr>
        <w:tabs>
          <w:tab w:val="left" w:pos="993"/>
        </w:tabs>
        <w:spacing w:after="0" w:line="240" w:lineRule="auto"/>
        <w:jc w:val="both"/>
        <w:rPr>
          <w:rFonts w:cs="Arial"/>
          <w:sz w:val="24"/>
          <w:szCs w:val="24"/>
        </w:rPr>
      </w:pPr>
      <w:r w:rsidRPr="001D3810">
        <w:rPr>
          <w:rFonts w:cs="Arial"/>
          <w:sz w:val="24"/>
          <w:szCs w:val="24"/>
        </w:rPr>
        <w:t xml:space="preserve">Por tipo de jornada, </w:t>
      </w:r>
      <w:r w:rsidRPr="004D1331">
        <w:rPr>
          <w:rFonts w:cs="Arial"/>
          <w:b/>
          <w:color w:val="4F6228" w:themeColor="accent3" w:themeShade="80"/>
          <w:sz w:val="24"/>
          <w:szCs w:val="24"/>
        </w:rPr>
        <w:t>las mujeres siguen siendo las que de manera muy mayoritaria ocupan empleos a tiempo parcial</w:t>
      </w:r>
      <w:r w:rsidR="002F6114" w:rsidRPr="004D1331">
        <w:rPr>
          <w:rFonts w:cs="Arial"/>
          <w:b/>
          <w:color w:val="4F6228" w:themeColor="accent3" w:themeShade="80"/>
          <w:sz w:val="24"/>
          <w:szCs w:val="24"/>
        </w:rPr>
        <w:t xml:space="preserve">, aumentando además en 2017 su peso en este tipo de empleo: </w:t>
      </w:r>
      <w:r w:rsidR="002F6114" w:rsidRPr="001D3810">
        <w:rPr>
          <w:rFonts w:cs="Arial"/>
          <w:sz w:val="24"/>
          <w:szCs w:val="24"/>
        </w:rPr>
        <w:t>en el cuarto trimestre de este año ha sido del 7</w:t>
      </w:r>
      <w:r w:rsidR="00ED14F7" w:rsidRPr="001D3810">
        <w:rPr>
          <w:rFonts w:cs="Arial"/>
          <w:sz w:val="24"/>
          <w:szCs w:val="24"/>
        </w:rPr>
        <w:t>2</w:t>
      </w:r>
      <w:r w:rsidR="002F6114" w:rsidRPr="001D3810">
        <w:rPr>
          <w:rFonts w:cs="Arial"/>
          <w:sz w:val="24"/>
          <w:szCs w:val="24"/>
        </w:rPr>
        <w:t>,</w:t>
      </w:r>
      <w:r w:rsidR="00ED14F7" w:rsidRPr="001D3810">
        <w:rPr>
          <w:rFonts w:cs="Arial"/>
          <w:sz w:val="24"/>
          <w:szCs w:val="24"/>
        </w:rPr>
        <w:t>48%, 2</w:t>
      </w:r>
      <w:r w:rsidR="002F6114" w:rsidRPr="001D3810">
        <w:rPr>
          <w:rFonts w:cs="Arial"/>
          <w:sz w:val="24"/>
          <w:szCs w:val="24"/>
        </w:rPr>
        <w:t>,</w:t>
      </w:r>
      <w:r w:rsidR="00ED14F7" w:rsidRPr="001D3810">
        <w:rPr>
          <w:rFonts w:cs="Arial"/>
          <w:sz w:val="24"/>
          <w:szCs w:val="24"/>
        </w:rPr>
        <w:t>4</w:t>
      </w:r>
      <w:r w:rsidR="002F6114" w:rsidRPr="001D3810">
        <w:rPr>
          <w:rFonts w:cs="Arial"/>
          <w:sz w:val="24"/>
          <w:szCs w:val="24"/>
        </w:rPr>
        <w:t xml:space="preserve"> puntos más que un año </w:t>
      </w:r>
      <w:r w:rsidR="00994107" w:rsidRPr="001D3810">
        <w:rPr>
          <w:rFonts w:cs="Arial"/>
          <w:sz w:val="24"/>
          <w:szCs w:val="24"/>
        </w:rPr>
        <w:t>antes. Este</w:t>
      </w:r>
      <w:r w:rsidRPr="001D3810">
        <w:rPr>
          <w:rFonts w:cs="Arial"/>
          <w:sz w:val="24"/>
          <w:szCs w:val="24"/>
        </w:rPr>
        <w:t xml:space="preserve"> porcentaje se ha reducido algo desde 2007, cuando las mujeres ocupaban </w:t>
      </w:r>
      <w:r w:rsidR="00ED14F7" w:rsidRPr="001D3810">
        <w:rPr>
          <w:rFonts w:cs="Arial"/>
          <w:sz w:val="24"/>
          <w:szCs w:val="24"/>
        </w:rPr>
        <w:t>más d</w:t>
      </w:r>
      <w:r w:rsidRPr="001D3810">
        <w:rPr>
          <w:rFonts w:cs="Arial"/>
          <w:sz w:val="24"/>
          <w:szCs w:val="24"/>
        </w:rPr>
        <w:t>el 80% del empleo a jornada reducida</w:t>
      </w:r>
      <w:r w:rsidR="00ED14F7" w:rsidRPr="001D3810">
        <w:rPr>
          <w:rFonts w:cs="Arial"/>
          <w:sz w:val="24"/>
          <w:szCs w:val="24"/>
        </w:rPr>
        <w:t xml:space="preserve"> (80,31%)</w:t>
      </w:r>
      <w:r w:rsidRPr="001D3810">
        <w:rPr>
          <w:rFonts w:cs="Arial"/>
          <w:sz w:val="24"/>
          <w:szCs w:val="24"/>
        </w:rPr>
        <w:t xml:space="preserve">, debido al aumento de este tipo de empleo entre los hombres. </w:t>
      </w:r>
      <w:r w:rsidR="002F6114" w:rsidRPr="001D3810">
        <w:rPr>
          <w:rFonts w:cs="Arial"/>
          <w:sz w:val="24"/>
          <w:szCs w:val="24"/>
        </w:rPr>
        <w:t>Esta evolución se inscribe en el contexto de extensión general del empleo a jornada parcial que</w:t>
      </w:r>
      <w:r w:rsidRPr="001D3810">
        <w:rPr>
          <w:rFonts w:cs="Arial"/>
          <w:sz w:val="24"/>
          <w:szCs w:val="24"/>
        </w:rPr>
        <w:t xml:space="preserve">, como se ha explicado en un apartado anterior, es en la actualidad una de las formas contractuales más precarias e hiperflexibles de nuestro mercado laboral. </w:t>
      </w:r>
      <w:r w:rsidR="002F6114" w:rsidRPr="001D3810">
        <w:rPr>
          <w:rFonts w:cs="Arial"/>
          <w:sz w:val="24"/>
          <w:szCs w:val="24"/>
        </w:rPr>
        <w:t>No obstante, en los últimos trimestres se aprecia una ligera caída de su peso sobre el empleo total, observable tanto en las mujeres (el 2</w:t>
      </w:r>
      <w:r w:rsidR="00ED14F7" w:rsidRPr="001D3810">
        <w:rPr>
          <w:rFonts w:cs="Arial"/>
          <w:sz w:val="24"/>
          <w:szCs w:val="24"/>
        </w:rPr>
        <w:t>7</w:t>
      </w:r>
      <w:r w:rsidR="002F6114" w:rsidRPr="001D3810">
        <w:rPr>
          <w:rFonts w:cs="Arial"/>
          <w:sz w:val="24"/>
          <w:szCs w:val="24"/>
        </w:rPr>
        <w:t>,</w:t>
      </w:r>
      <w:r w:rsidR="00ED14F7" w:rsidRPr="001D3810">
        <w:rPr>
          <w:rFonts w:cs="Arial"/>
          <w:sz w:val="24"/>
          <w:szCs w:val="24"/>
        </w:rPr>
        <w:t>4</w:t>
      </w:r>
      <w:r w:rsidR="002F6114" w:rsidRPr="001D3810">
        <w:rPr>
          <w:rFonts w:cs="Arial"/>
          <w:sz w:val="24"/>
          <w:szCs w:val="24"/>
        </w:rPr>
        <w:t>% de su ocupación total es a tiempo parcial, cuando hace 2 años era del 2</w:t>
      </w:r>
      <w:r w:rsidR="00ED14F7" w:rsidRPr="001D3810">
        <w:rPr>
          <w:rFonts w:cs="Arial"/>
          <w:sz w:val="24"/>
          <w:szCs w:val="24"/>
        </w:rPr>
        <w:t>9</w:t>
      </w:r>
      <w:r w:rsidR="002F6114" w:rsidRPr="001D3810">
        <w:rPr>
          <w:rFonts w:cs="Arial"/>
          <w:sz w:val="24"/>
          <w:szCs w:val="24"/>
        </w:rPr>
        <w:t>%) como en los hombres (ahora el 7</w:t>
      </w:r>
      <w:r w:rsidR="00ED14F7" w:rsidRPr="001D3810">
        <w:rPr>
          <w:rFonts w:cs="Arial"/>
          <w:sz w:val="24"/>
          <w:szCs w:val="24"/>
        </w:rPr>
        <w:t>,8</w:t>
      </w:r>
      <w:r w:rsidR="002F6114" w:rsidRPr="001D3810">
        <w:rPr>
          <w:rFonts w:cs="Arial"/>
          <w:sz w:val="24"/>
          <w:szCs w:val="24"/>
        </w:rPr>
        <w:t xml:space="preserve">%, y entonces alcanzó el </w:t>
      </w:r>
      <w:r w:rsidR="00ED14F7" w:rsidRPr="001D3810">
        <w:rPr>
          <w:rFonts w:cs="Arial"/>
          <w:sz w:val="24"/>
          <w:szCs w:val="24"/>
        </w:rPr>
        <w:t>9,5</w:t>
      </w:r>
      <w:r w:rsidR="002F6114" w:rsidRPr="001D3810">
        <w:rPr>
          <w:rFonts w:cs="Arial"/>
          <w:sz w:val="24"/>
          <w:szCs w:val="24"/>
        </w:rPr>
        <w:t>%).</w:t>
      </w:r>
    </w:p>
    <w:p w:rsidR="00B15789" w:rsidRPr="001D3810" w:rsidRDefault="00B15789" w:rsidP="004349F4">
      <w:pPr>
        <w:tabs>
          <w:tab w:val="left" w:pos="993"/>
        </w:tabs>
        <w:spacing w:after="0" w:line="240" w:lineRule="auto"/>
        <w:jc w:val="both"/>
        <w:rPr>
          <w:rFonts w:cs="Arial"/>
          <w:sz w:val="24"/>
          <w:szCs w:val="24"/>
        </w:rPr>
      </w:pPr>
    </w:p>
    <w:p w:rsidR="00ED14F7" w:rsidRPr="001D3810" w:rsidRDefault="00ED14F7" w:rsidP="004349F4">
      <w:pPr>
        <w:tabs>
          <w:tab w:val="left" w:pos="993"/>
        </w:tabs>
        <w:spacing w:after="0" w:line="240" w:lineRule="auto"/>
        <w:jc w:val="both"/>
        <w:rPr>
          <w:rFonts w:cs="Arial"/>
          <w:sz w:val="24"/>
          <w:szCs w:val="24"/>
        </w:rPr>
      </w:pPr>
    </w:p>
    <w:p w:rsidR="004349F4" w:rsidRPr="004D1331" w:rsidRDefault="004349F4" w:rsidP="004349F4">
      <w:pPr>
        <w:spacing w:after="0" w:line="240" w:lineRule="auto"/>
        <w:jc w:val="center"/>
        <w:rPr>
          <w:b/>
          <w:i/>
          <w:color w:val="4F6228" w:themeColor="accent3" w:themeShade="80"/>
          <w:sz w:val="28"/>
          <w:szCs w:val="28"/>
        </w:rPr>
      </w:pPr>
      <w:r w:rsidRPr="004D1331">
        <w:rPr>
          <w:b/>
          <w:i/>
          <w:color w:val="4F6228" w:themeColor="accent3" w:themeShade="80"/>
          <w:sz w:val="20"/>
          <w:szCs w:val="28"/>
        </w:rPr>
        <w:t>G2</w:t>
      </w:r>
      <w:r w:rsidR="00661223" w:rsidRPr="004D1331">
        <w:rPr>
          <w:b/>
          <w:i/>
          <w:color w:val="4F6228" w:themeColor="accent3" w:themeShade="80"/>
          <w:sz w:val="20"/>
          <w:szCs w:val="28"/>
        </w:rPr>
        <w:t>2</w:t>
      </w:r>
      <w:r w:rsidRPr="004D1331">
        <w:rPr>
          <w:b/>
          <w:i/>
          <w:color w:val="4F6228" w:themeColor="accent3" w:themeShade="80"/>
          <w:sz w:val="20"/>
          <w:szCs w:val="28"/>
        </w:rPr>
        <w:t xml:space="preserve"> - </w:t>
      </w:r>
      <w:r w:rsidRPr="004D1331">
        <w:rPr>
          <w:b/>
          <w:i/>
          <w:color w:val="4F6228" w:themeColor="accent3" w:themeShade="80"/>
          <w:sz w:val="28"/>
          <w:szCs w:val="28"/>
        </w:rPr>
        <w:t>Motivos por los que la trabajadora tiene un empleo a tiempo parcial</w:t>
      </w:r>
    </w:p>
    <w:p w:rsidR="004349F4" w:rsidRPr="004D1331" w:rsidRDefault="004349F4" w:rsidP="004349F4">
      <w:pPr>
        <w:spacing w:after="0" w:line="240" w:lineRule="auto"/>
        <w:jc w:val="center"/>
        <w:rPr>
          <w:b/>
          <w:i/>
          <w:color w:val="4F6228" w:themeColor="accent3" w:themeShade="80"/>
          <w:sz w:val="24"/>
          <w:szCs w:val="28"/>
        </w:rPr>
      </w:pPr>
      <w:r w:rsidRPr="004D1331">
        <w:rPr>
          <w:b/>
          <w:i/>
          <w:color w:val="4F6228" w:themeColor="accent3" w:themeShade="80"/>
          <w:sz w:val="24"/>
          <w:szCs w:val="28"/>
        </w:rPr>
        <w:t>Mujeres</w:t>
      </w:r>
    </w:p>
    <w:p w:rsidR="004349F4" w:rsidRPr="004D1331" w:rsidRDefault="007D7082" w:rsidP="004349F4">
      <w:pPr>
        <w:tabs>
          <w:tab w:val="left" w:pos="993"/>
        </w:tabs>
        <w:spacing w:after="0" w:line="240" w:lineRule="auto"/>
        <w:jc w:val="both"/>
        <w:rPr>
          <w:rFonts w:cs="Arial"/>
          <w:color w:val="4F6228" w:themeColor="accent3" w:themeShade="80"/>
          <w:sz w:val="24"/>
          <w:szCs w:val="24"/>
        </w:rPr>
      </w:pPr>
      <w:r w:rsidRPr="004D1331">
        <w:rPr>
          <w:noProof/>
          <w:color w:val="4F6228" w:themeColor="accent3" w:themeShade="80"/>
          <w:lang w:eastAsia="es-ES"/>
        </w:rPr>
        <w:drawing>
          <wp:inline distT="0" distB="0" distL="0" distR="0">
            <wp:extent cx="5400040" cy="3685658"/>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685658"/>
                    </a:xfrm>
                    <a:prstGeom prst="rect">
                      <a:avLst/>
                    </a:prstGeom>
                    <a:noFill/>
                    <a:ln>
                      <a:noFill/>
                    </a:ln>
                  </pic:spPr>
                </pic:pic>
              </a:graphicData>
            </a:graphic>
          </wp:inline>
        </w:drawing>
      </w:r>
    </w:p>
    <w:p w:rsidR="004349F4" w:rsidRPr="004D1331" w:rsidRDefault="004349F4" w:rsidP="004349F4">
      <w:pPr>
        <w:tabs>
          <w:tab w:val="left" w:pos="993"/>
        </w:tabs>
        <w:spacing w:after="0" w:line="240" w:lineRule="auto"/>
        <w:jc w:val="both"/>
        <w:rPr>
          <w:rFonts w:cs="Arial"/>
          <w:i/>
          <w:color w:val="4F6228" w:themeColor="accent3" w:themeShade="80"/>
          <w:sz w:val="20"/>
          <w:szCs w:val="24"/>
        </w:rPr>
      </w:pPr>
      <w:r w:rsidRPr="004D1331">
        <w:rPr>
          <w:rFonts w:cs="Arial"/>
          <w:i/>
          <w:color w:val="4F6228" w:themeColor="accent3" w:themeShade="80"/>
          <w:sz w:val="20"/>
          <w:szCs w:val="24"/>
        </w:rPr>
        <w:t>Fuente: EPA. INE</w:t>
      </w:r>
    </w:p>
    <w:p w:rsidR="004349F4" w:rsidRPr="001D3810" w:rsidRDefault="004349F4" w:rsidP="004349F4">
      <w:pPr>
        <w:tabs>
          <w:tab w:val="left" w:pos="993"/>
        </w:tabs>
        <w:spacing w:after="0" w:line="240" w:lineRule="auto"/>
        <w:jc w:val="both"/>
        <w:rPr>
          <w:rFonts w:cs="Arial"/>
          <w:sz w:val="24"/>
          <w:szCs w:val="24"/>
        </w:rPr>
      </w:pPr>
    </w:p>
    <w:p w:rsidR="00F935A1" w:rsidRPr="001D3810" w:rsidRDefault="00F935A1" w:rsidP="004349F4">
      <w:pPr>
        <w:tabs>
          <w:tab w:val="left" w:pos="993"/>
        </w:tabs>
        <w:spacing w:after="0" w:line="240" w:lineRule="auto"/>
        <w:jc w:val="both"/>
        <w:rPr>
          <w:rFonts w:cs="Arial"/>
          <w:sz w:val="24"/>
          <w:szCs w:val="24"/>
        </w:rPr>
      </w:pPr>
    </w:p>
    <w:p w:rsidR="00F935A1" w:rsidRPr="001D3810" w:rsidRDefault="00F935A1" w:rsidP="00F935A1">
      <w:pPr>
        <w:tabs>
          <w:tab w:val="left" w:pos="993"/>
        </w:tabs>
        <w:spacing w:after="0" w:line="240" w:lineRule="auto"/>
        <w:jc w:val="both"/>
        <w:rPr>
          <w:rFonts w:cs="Arial"/>
          <w:sz w:val="24"/>
          <w:szCs w:val="24"/>
        </w:rPr>
      </w:pPr>
      <w:r w:rsidRPr="001D3810">
        <w:rPr>
          <w:rFonts w:cs="Arial"/>
          <w:sz w:val="24"/>
          <w:szCs w:val="24"/>
        </w:rPr>
        <w:t xml:space="preserve">Sí es muy importante destacar en este sentido que la mayor utilización del empleo a jornada parcial por parte de las mujeres </w:t>
      </w:r>
      <w:r w:rsidRPr="004D1331">
        <w:rPr>
          <w:rFonts w:cs="Arial"/>
          <w:b/>
          <w:color w:val="4F6228" w:themeColor="accent3" w:themeShade="80"/>
          <w:sz w:val="24"/>
          <w:szCs w:val="24"/>
        </w:rPr>
        <w:t>no responde mayoritariamente a una preferencia voluntaria</w:t>
      </w:r>
      <w:r w:rsidRPr="004D1331">
        <w:rPr>
          <w:rFonts w:cs="Arial"/>
          <w:color w:val="4F6228" w:themeColor="accent3" w:themeShade="80"/>
          <w:sz w:val="24"/>
          <w:szCs w:val="24"/>
        </w:rPr>
        <w:t>,</w:t>
      </w:r>
      <w:r w:rsidRPr="001D3810">
        <w:rPr>
          <w:rFonts w:cs="Arial"/>
          <w:sz w:val="24"/>
          <w:szCs w:val="24"/>
        </w:rPr>
        <w:t xml:space="preserve"> sino, al igual que en el caso de los hombres, a que </w:t>
      </w:r>
      <w:r w:rsidRPr="001D3810">
        <w:rPr>
          <w:rFonts w:cs="Arial"/>
          <w:b/>
          <w:sz w:val="24"/>
          <w:szCs w:val="24"/>
        </w:rPr>
        <w:t xml:space="preserve">no </w:t>
      </w:r>
      <w:r w:rsidRPr="004D1331">
        <w:rPr>
          <w:rFonts w:cs="Arial"/>
          <w:b/>
          <w:color w:val="4F6228" w:themeColor="accent3" w:themeShade="80"/>
          <w:sz w:val="24"/>
          <w:szCs w:val="24"/>
        </w:rPr>
        <w:t>encuentran un empleo a jornada completa</w:t>
      </w:r>
      <w:r w:rsidRPr="001D3810">
        <w:rPr>
          <w:rFonts w:cs="Arial"/>
          <w:sz w:val="24"/>
          <w:szCs w:val="24"/>
        </w:rPr>
        <w:t xml:space="preserve">. Así sucede para el </w:t>
      </w:r>
      <w:r w:rsidRPr="004D1331">
        <w:rPr>
          <w:rFonts w:cs="Arial"/>
          <w:b/>
          <w:color w:val="4F6228" w:themeColor="accent3" w:themeShade="80"/>
          <w:sz w:val="24"/>
          <w:szCs w:val="24"/>
        </w:rPr>
        <w:t>55,2%</w:t>
      </w:r>
      <w:r w:rsidRPr="001D3810">
        <w:rPr>
          <w:rFonts w:cs="Arial"/>
          <w:sz w:val="24"/>
          <w:szCs w:val="24"/>
        </w:rPr>
        <w:t xml:space="preserve"> de las mujeres que poseen un empleo con jornada reducida (para los hombres es el 58,1%).</w:t>
      </w:r>
    </w:p>
    <w:p w:rsidR="00F935A1" w:rsidRPr="001D3810" w:rsidRDefault="00F935A1" w:rsidP="004349F4">
      <w:pPr>
        <w:tabs>
          <w:tab w:val="left" w:pos="993"/>
        </w:tabs>
        <w:spacing w:after="0" w:line="240" w:lineRule="auto"/>
        <w:jc w:val="both"/>
        <w:rPr>
          <w:rFonts w:cs="Arial"/>
          <w:sz w:val="24"/>
          <w:szCs w:val="24"/>
        </w:rPr>
      </w:pPr>
    </w:p>
    <w:p w:rsidR="004349F4" w:rsidRPr="001D3810" w:rsidRDefault="004349F4" w:rsidP="004349F4">
      <w:pPr>
        <w:tabs>
          <w:tab w:val="left" w:pos="993"/>
        </w:tabs>
        <w:spacing w:after="0" w:line="240" w:lineRule="auto"/>
        <w:jc w:val="both"/>
        <w:rPr>
          <w:rFonts w:cs="Arial"/>
          <w:sz w:val="24"/>
          <w:szCs w:val="24"/>
        </w:rPr>
      </w:pPr>
      <w:r w:rsidRPr="001D3810">
        <w:rPr>
          <w:rFonts w:cs="Arial"/>
          <w:sz w:val="24"/>
          <w:szCs w:val="24"/>
        </w:rPr>
        <w:t xml:space="preserve">También </w:t>
      </w:r>
      <w:r w:rsidRPr="004D1331">
        <w:rPr>
          <w:rFonts w:cs="Arial"/>
          <w:b/>
          <w:color w:val="4F6228" w:themeColor="accent3" w:themeShade="80"/>
          <w:sz w:val="24"/>
          <w:szCs w:val="24"/>
        </w:rPr>
        <w:t xml:space="preserve">se </w:t>
      </w:r>
      <w:r w:rsidR="00E3721C" w:rsidRPr="004D1331">
        <w:rPr>
          <w:rFonts w:cs="Arial"/>
          <w:b/>
          <w:color w:val="4F6228" w:themeColor="accent3" w:themeShade="80"/>
          <w:sz w:val="24"/>
          <w:szCs w:val="24"/>
        </w:rPr>
        <w:t xml:space="preserve">viene reduciendo </w:t>
      </w:r>
      <w:r w:rsidRPr="004D1331">
        <w:rPr>
          <w:rFonts w:cs="Arial"/>
          <w:b/>
          <w:color w:val="4F6228" w:themeColor="accent3" w:themeShade="80"/>
          <w:sz w:val="24"/>
          <w:szCs w:val="24"/>
        </w:rPr>
        <w:t>comparativamente menos el desempleo femenino que el masculino</w:t>
      </w:r>
      <w:r w:rsidRPr="001D3810">
        <w:rPr>
          <w:rFonts w:cs="Arial"/>
          <w:b/>
          <w:sz w:val="24"/>
          <w:szCs w:val="24"/>
        </w:rPr>
        <w:t xml:space="preserve"> </w:t>
      </w:r>
      <w:r w:rsidRPr="001D3810">
        <w:rPr>
          <w:rFonts w:cs="Arial"/>
          <w:sz w:val="24"/>
          <w:szCs w:val="24"/>
        </w:rPr>
        <w:t xml:space="preserve">desde el inicio de la recuperación (primer trimestre de 2014), un </w:t>
      </w:r>
      <w:r w:rsidR="00ED14F7" w:rsidRPr="001D3810">
        <w:rPr>
          <w:rFonts w:cs="Arial"/>
          <w:sz w:val="24"/>
          <w:szCs w:val="24"/>
        </w:rPr>
        <w:t>26</w:t>
      </w:r>
      <w:r w:rsidR="00E3721C" w:rsidRPr="001D3810">
        <w:rPr>
          <w:rFonts w:cs="Arial"/>
          <w:sz w:val="24"/>
          <w:szCs w:val="24"/>
        </w:rPr>
        <w:t>,</w:t>
      </w:r>
      <w:r w:rsidR="00ED14F7" w:rsidRPr="001D3810">
        <w:rPr>
          <w:rFonts w:cs="Arial"/>
          <w:sz w:val="24"/>
          <w:szCs w:val="24"/>
        </w:rPr>
        <w:t>3</w:t>
      </w:r>
      <w:r w:rsidRPr="001D3810">
        <w:rPr>
          <w:rFonts w:cs="Arial"/>
          <w:sz w:val="24"/>
          <w:szCs w:val="24"/>
        </w:rPr>
        <w:t xml:space="preserve">%, frente a un </w:t>
      </w:r>
      <w:r w:rsidR="00ED14F7" w:rsidRPr="001D3810">
        <w:rPr>
          <w:rFonts w:cs="Arial"/>
          <w:sz w:val="24"/>
          <w:szCs w:val="24"/>
        </w:rPr>
        <w:t>36</w:t>
      </w:r>
      <w:r w:rsidR="00E3721C" w:rsidRPr="001D3810">
        <w:rPr>
          <w:rFonts w:cs="Arial"/>
          <w:sz w:val="24"/>
          <w:szCs w:val="24"/>
        </w:rPr>
        <w:t>,</w:t>
      </w:r>
      <w:r w:rsidR="00ED14F7" w:rsidRPr="001D3810">
        <w:rPr>
          <w:rFonts w:cs="Arial"/>
          <w:sz w:val="24"/>
          <w:szCs w:val="24"/>
        </w:rPr>
        <w:t>30</w:t>
      </w:r>
      <w:r w:rsidR="00E3721C" w:rsidRPr="001D3810">
        <w:rPr>
          <w:rFonts w:cs="Arial"/>
          <w:sz w:val="24"/>
          <w:szCs w:val="24"/>
        </w:rPr>
        <w:t xml:space="preserve">% en el caso de los hombres, lo que </w:t>
      </w:r>
      <w:r w:rsidR="00ED14F7" w:rsidRPr="001D3810">
        <w:rPr>
          <w:rFonts w:cs="Arial"/>
          <w:sz w:val="24"/>
          <w:szCs w:val="24"/>
        </w:rPr>
        <w:t>se agrava si tenemos en cuenta</w:t>
      </w:r>
      <w:r w:rsidR="00E3721C" w:rsidRPr="001D3810">
        <w:rPr>
          <w:rFonts w:cs="Arial"/>
          <w:sz w:val="24"/>
          <w:szCs w:val="24"/>
        </w:rPr>
        <w:t xml:space="preserve"> que</w:t>
      </w:r>
      <w:r w:rsidR="00ED14F7" w:rsidRPr="001D3810">
        <w:rPr>
          <w:rFonts w:cs="Arial"/>
          <w:sz w:val="24"/>
          <w:szCs w:val="24"/>
        </w:rPr>
        <w:t>,</w:t>
      </w:r>
      <w:r w:rsidR="00E3721C" w:rsidRPr="001D3810">
        <w:rPr>
          <w:rFonts w:cs="Arial"/>
          <w:sz w:val="24"/>
          <w:szCs w:val="24"/>
        </w:rPr>
        <w:t xml:space="preserve"> en este período</w:t>
      </w:r>
      <w:r w:rsidR="00ED14F7" w:rsidRPr="001D3810">
        <w:rPr>
          <w:rFonts w:cs="Arial"/>
          <w:sz w:val="24"/>
          <w:szCs w:val="24"/>
        </w:rPr>
        <w:t>,</w:t>
      </w:r>
      <w:r w:rsidR="00E3721C" w:rsidRPr="001D3810">
        <w:rPr>
          <w:rFonts w:cs="Arial"/>
          <w:sz w:val="24"/>
          <w:szCs w:val="24"/>
        </w:rPr>
        <w:t xml:space="preserve"> la población activa masculina ha caído un 1</w:t>
      </w:r>
      <w:r w:rsidR="00ED14F7" w:rsidRPr="001D3810">
        <w:rPr>
          <w:rFonts w:cs="Arial"/>
          <w:sz w:val="24"/>
          <w:szCs w:val="24"/>
        </w:rPr>
        <w:t>,72</w:t>
      </w:r>
      <w:r w:rsidR="00E3721C" w:rsidRPr="001D3810">
        <w:rPr>
          <w:rFonts w:cs="Arial"/>
          <w:sz w:val="24"/>
          <w:szCs w:val="24"/>
        </w:rPr>
        <w:t xml:space="preserve">% mientras que la femenina se ha </w:t>
      </w:r>
      <w:r w:rsidR="00ED14F7" w:rsidRPr="001D3810">
        <w:rPr>
          <w:rFonts w:cs="Arial"/>
          <w:sz w:val="24"/>
          <w:szCs w:val="24"/>
        </w:rPr>
        <w:t>reducido en mayor medida (2,53%)</w:t>
      </w:r>
      <w:r w:rsidR="00E3721C" w:rsidRPr="001D3810">
        <w:rPr>
          <w:rFonts w:cs="Arial"/>
          <w:sz w:val="24"/>
          <w:szCs w:val="24"/>
        </w:rPr>
        <w:t xml:space="preserve">. </w:t>
      </w:r>
    </w:p>
    <w:p w:rsidR="004349F4" w:rsidRPr="001D3810" w:rsidRDefault="004349F4" w:rsidP="004349F4">
      <w:pPr>
        <w:tabs>
          <w:tab w:val="left" w:pos="993"/>
        </w:tabs>
        <w:spacing w:after="0" w:line="240" w:lineRule="auto"/>
        <w:jc w:val="both"/>
        <w:rPr>
          <w:rFonts w:cs="Arial"/>
          <w:sz w:val="24"/>
          <w:szCs w:val="24"/>
        </w:rPr>
      </w:pPr>
    </w:p>
    <w:p w:rsidR="004349F4" w:rsidRPr="001D3810" w:rsidRDefault="004349F4" w:rsidP="004349F4">
      <w:pPr>
        <w:tabs>
          <w:tab w:val="left" w:pos="993"/>
        </w:tabs>
        <w:spacing w:after="0" w:line="240" w:lineRule="auto"/>
        <w:jc w:val="both"/>
        <w:rPr>
          <w:rFonts w:cs="Arial"/>
          <w:sz w:val="24"/>
          <w:szCs w:val="24"/>
        </w:rPr>
      </w:pPr>
      <w:r w:rsidRPr="001D3810">
        <w:rPr>
          <w:rFonts w:cs="Arial"/>
          <w:sz w:val="24"/>
          <w:szCs w:val="24"/>
        </w:rPr>
        <w:t xml:space="preserve">La evolución de la </w:t>
      </w:r>
      <w:r w:rsidRPr="004D1331">
        <w:rPr>
          <w:rFonts w:cs="Arial"/>
          <w:b/>
          <w:color w:val="4F6228" w:themeColor="accent3" w:themeShade="80"/>
          <w:sz w:val="24"/>
          <w:szCs w:val="24"/>
        </w:rPr>
        <w:t>tasa de paro</w:t>
      </w:r>
      <w:r w:rsidRPr="001D3810">
        <w:rPr>
          <w:rFonts w:cs="Arial"/>
          <w:sz w:val="24"/>
          <w:szCs w:val="24"/>
        </w:rPr>
        <w:t xml:space="preserve"> femenina en los últimos 15 años muestra tres fases bien diferenciadas en su relación con la de los hombres. En la fase expansiva anterior convergió lenta pero continuamente con la de los hombres, ambas en fase de descenso. Al inicio de la crisis, y tras tomar ambas una acusada senda alcista, prácticamente se equiparó con la de los hombres, por la mayor destrucción de empleo masculino, dado el mayor impacto de la recesión sobre ocupaciones y sectores muy masculinizados, ascendiendo </w:t>
      </w:r>
      <w:r w:rsidR="002A5435" w:rsidRPr="001D3810">
        <w:rPr>
          <w:rFonts w:cs="Arial"/>
          <w:sz w:val="24"/>
          <w:szCs w:val="24"/>
        </w:rPr>
        <w:t xml:space="preserve">las dos </w:t>
      </w:r>
      <w:r w:rsidR="00ED14F7" w:rsidRPr="001D3810">
        <w:rPr>
          <w:rFonts w:cs="Arial"/>
          <w:sz w:val="24"/>
          <w:szCs w:val="24"/>
        </w:rPr>
        <w:t>de principios de 2008</w:t>
      </w:r>
      <w:r w:rsidRPr="001D3810">
        <w:rPr>
          <w:rFonts w:cs="Arial"/>
          <w:sz w:val="24"/>
          <w:szCs w:val="24"/>
        </w:rPr>
        <w:t xml:space="preserve"> a </w:t>
      </w:r>
      <w:r w:rsidR="00ED14F7" w:rsidRPr="001D3810">
        <w:rPr>
          <w:rFonts w:cs="Arial"/>
          <w:sz w:val="24"/>
          <w:szCs w:val="24"/>
        </w:rPr>
        <w:t>finales</w:t>
      </w:r>
      <w:r w:rsidRPr="001D3810">
        <w:rPr>
          <w:rFonts w:cs="Arial"/>
          <w:sz w:val="24"/>
          <w:szCs w:val="24"/>
        </w:rPr>
        <w:t xml:space="preserve"> de 2013 prácticamente igualadas. Y cuando se retom</w:t>
      </w:r>
      <w:r w:rsidR="00E3721C" w:rsidRPr="001D3810">
        <w:rPr>
          <w:rFonts w:cs="Arial"/>
          <w:sz w:val="24"/>
          <w:szCs w:val="24"/>
        </w:rPr>
        <w:t>ó</w:t>
      </w:r>
      <w:r w:rsidR="00ED14F7" w:rsidRPr="001D3810">
        <w:rPr>
          <w:rFonts w:cs="Arial"/>
          <w:sz w:val="24"/>
          <w:szCs w:val="24"/>
        </w:rPr>
        <w:t xml:space="preserve"> </w:t>
      </w:r>
      <w:r w:rsidR="00E3721C" w:rsidRPr="001D3810">
        <w:rPr>
          <w:rFonts w:cs="Arial"/>
          <w:sz w:val="24"/>
          <w:szCs w:val="24"/>
        </w:rPr>
        <w:t>una</w:t>
      </w:r>
      <w:r w:rsidRPr="001D3810">
        <w:rPr>
          <w:rFonts w:cs="Arial"/>
          <w:sz w:val="24"/>
          <w:szCs w:val="24"/>
        </w:rPr>
        <w:t xml:space="preserve"> etapa de descenso del paro</w:t>
      </w:r>
      <w:r w:rsidR="00E3721C" w:rsidRPr="001D3810">
        <w:rPr>
          <w:rFonts w:cs="Arial"/>
          <w:sz w:val="24"/>
          <w:szCs w:val="24"/>
        </w:rPr>
        <w:t xml:space="preserve"> en 2014</w:t>
      </w:r>
      <w:r w:rsidRPr="001D3810">
        <w:rPr>
          <w:rFonts w:cs="Arial"/>
          <w:sz w:val="24"/>
          <w:szCs w:val="24"/>
        </w:rPr>
        <w:t xml:space="preserve">, se </w:t>
      </w:r>
      <w:r w:rsidR="00E3721C" w:rsidRPr="001D3810">
        <w:rPr>
          <w:rFonts w:cs="Arial"/>
          <w:sz w:val="24"/>
          <w:szCs w:val="24"/>
        </w:rPr>
        <w:t>volvió</w:t>
      </w:r>
      <w:r w:rsidRPr="001D3810">
        <w:rPr>
          <w:rFonts w:cs="Arial"/>
          <w:sz w:val="24"/>
          <w:szCs w:val="24"/>
        </w:rPr>
        <w:t xml:space="preserve"> a amplificar la brecha paulatinamente</w:t>
      </w:r>
      <w:r w:rsidR="00E3721C" w:rsidRPr="001D3810">
        <w:rPr>
          <w:rFonts w:cs="Arial"/>
          <w:sz w:val="24"/>
          <w:szCs w:val="24"/>
        </w:rPr>
        <w:t xml:space="preserve"> hasta finales de 2015.</w:t>
      </w:r>
      <w:r w:rsidR="00E3721C" w:rsidRPr="001D3810">
        <w:rPr>
          <w:rFonts w:cs="Arial"/>
          <w:b/>
          <w:sz w:val="24"/>
          <w:szCs w:val="24"/>
        </w:rPr>
        <w:t xml:space="preserve"> </w:t>
      </w:r>
      <w:r w:rsidR="00E3721C" w:rsidRPr="004D1331">
        <w:rPr>
          <w:rFonts w:cs="Arial"/>
          <w:b/>
          <w:color w:val="4F6228" w:themeColor="accent3" w:themeShade="80"/>
          <w:sz w:val="24"/>
          <w:szCs w:val="24"/>
        </w:rPr>
        <w:t xml:space="preserve">En los dos últimos años esta brecha ha permanecido bastante estabilizada en </w:t>
      </w:r>
      <w:r w:rsidR="00ED14F7" w:rsidRPr="004D1331">
        <w:rPr>
          <w:rFonts w:cs="Arial"/>
          <w:b/>
          <w:color w:val="4F6228" w:themeColor="accent3" w:themeShade="80"/>
          <w:sz w:val="24"/>
          <w:szCs w:val="24"/>
        </w:rPr>
        <w:t>torno a los 6</w:t>
      </w:r>
      <w:r w:rsidR="00E3721C" w:rsidRPr="004D1331">
        <w:rPr>
          <w:rFonts w:cs="Arial"/>
          <w:b/>
          <w:color w:val="4F6228" w:themeColor="accent3" w:themeShade="80"/>
          <w:sz w:val="24"/>
          <w:szCs w:val="24"/>
        </w:rPr>
        <w:t xml:space="preserve"> puntos porcentuales </w:t>
      </w:r>
      <w:r w:rsidR="00E3721C" w:rsidRPr="001D3810">
        <w:rPr>
          <w:rFonts w:cs="Arial"/>
          <w:sz w:val="24"/>
          <w:szCs w:val="24"/>
        </w:rPr>
        <w:t xml:space="preserve">(en el cuarto trimestre de 2017, </w:t>
      </w:r>
      <w:r w:rsidR="00ED14F7" w:rsidRPr="001D3810">
        <w:rPr>
          <w:rFonts w:cs="Arial"/>
          <w:sz w:val="24"/>
          <w:szCs w:val="24"/>
        </w:rPr>
        <w:t>27</w:t>
      </w:r>
      <w:r w:rsidR="00E3721C" w:rsidRPr="001D3810">
        <w:rPr>
          <w:rFonts w:cs="Arial"/>
          <w:sz w:val="24"/>
          <w:szCs w:val="24"/>
        </w:rPr>
        <w:t>,</w:t>
      </w:r>
      <w:r w:rsidR="00ED14F7" w:rsidRPr="001D3810">
        <w:rPr>
          <w:rFonts w:cs="Arial"/>
          <w:sz w:val="24"/>
          <w:szCs w:val="24"/>
        </w:rPr>
        <w:t>85</w:t>
      </w:r>
      <w:r w:rsidRPr="001D3810">
        <w:rPr>
          <w:rFonts w:cs="Arial"/>
          <w:sz w:val="24"/>
          <w:szCs w:val="24"/>
        </w:rPr>
        <w:t xml:space="preserve">% frente a </w:t>
      </w:r>
      <w:r w:rsidR="00ED14F7" w:rsidRPr="001D3810">
        <w:rPr>
          <w:rFonts w:cs="Arial"/>
          <w:sz w:val="24"/>
          <w:szCs w:val="24"/>
        </w:rPr>
        <w:t>2</w:t>
      </w:r>
      <w:r w:rsidR="00E3721C" w:rsidRPr="001D3810">
        <w:rPr>
          <w:rFonts w:cs="Arial"/>
          <w:sz w:val="24"/>
          <w:szCs w:val="24"/>
        </w:rPr>
        <w:t>1</w:t>
      </w:r>
      <w:r w:rsidR="00ED14F7" w:rsidRPr="001D3810">
        <w:rPr>
          <w:rFonts w:cs="Arial"/>
          <w:sz w:val="24"/>
          <w:szCs w:val="24"/>
        </w:rPr>
        <w:t>,63</w:t>
      </w:r>
      <w:r w:rsidRPr="001D3810">
        <w:rPr>
          <w:rFonts w:cs="Arial"/>
          <w:sz w:val="24"/>
          <w:szCs w:val="24"/>
        </w:rPr>
        <w:t>%).</w:t>
      </w:r>
    </w:p>
    <w:p w:rsidR="00EE6190" w:rsidRPr="001D3810" w:rsidRDefault="00EE6190" w:rsidP="004349F4">
      <w:pPr>
        <w:widowControl w:val="0"/>
        <w:tabs>
          <w:tab w:val="left" w:pos="426"/>
        </w:tabs>
        <w:spacing w:after="0" w:line="240" w:lineRule="auto"/>
        <w:jc w:val="both"/>
        <w:rPr>
          <w:rFonts w:ascii="Calibri" w:eastAsia="Times New Roman" w:hAnsi="Calibri" w:cs="Calibri"/>
          <w:lang w:eastAsia="es-ES"/>
        </w:rPr>
      </w:pPr>
    </w:p>
    <w:p w:rsidR="004349F4" w:rsidRPr="004D1331" w:rsidRDefault="004349F4" w:rsidP="004349F4">
      <w:pPr>
        <w:spacing w:after="0" w:line="240" w:lineRule="auto"/>
        <w:jc w:val="center"/>
        <w:rPr>
          <w:b/>
          <w:i/>
          <w:color w:val="4F6228" w:themeColor="accent3" w:themeShade="80"/>
          <w:sz w:val="28"/>
          <w:szCs w:val="28"/>
        </w:rPr>
      </w:pPr>
      <w:r w:rsidRPr="004D1331">
        <w:rPr>
          <w:b/>
          <w:i/>
          <w:color w:val="4F6228" w:themeColor="accent3" w:themeShade="80"/>
          <w:sz w:val="20"/>
          <w:szCs w:val="28"/>
        </w:rPr>
        <w:t>G</w:t>
      </w:r>
      <w:r w:rsidR="00661223" w:rsidRPr="004D1331">
        <w:rPr>
          <w:b/>
          <w:i/>
          <w:color w:val="4F6228" w:themeColor="accent3" w:themeShade="80"/>
          <w:sz w:val="20"/>
          <w:szCs w:val="28"/>
        </w:rPr>
        <w:t>23</w:t>
      </w:r>
      <w:r w:rsidRPr="004D1331">
        <w:rPr>
          <w:b/>
          <w:i/>
          <w:color w:val="4F6228" w:themeColor="accent3" w:themeShade="80"/>
          <w:sz w:val="20"/>
          <w:szCs w:val="28"/>
        </w:rPr>
        <w:t xml:space="preserve"> - </w:t>
      </w:r>
      <w:r w:rsidRPr="004D1331">
        <w:rPr>
          <w:b/>
          <w:i/>
          <w:color w:val="4F6228" w:themeColor="accent3" w:themeShade="80"/>
          <w:sz w:val="28"/>
          <w:szCs w:val="28"/>
        </w:rPr>
        <w:t>Tasa de paro de hombres y mujeres</w:t>
      </w:r>
    </w:p>
    <w:p w:rsidR="004349F4" w:rsidRPr="004D1331" w:rsidRDefault="004349F4" w:rsidP="004349F4">
      <w:pPr>
        <w:spacing w:after="0" w:line="240" w:lineRule="auto"/>
        <w:jc w:val="center"/>
        <w:rPr>
          <w:b/>
          <w:i/>
          <w:color w:val="4F6228" w:themeColor="accent3" w:themeShade="80"/>
        </w:rPr>
      </w:pPr>
      <w:r w:rsidRPr="004D1331">
        <w:rPr>
          <w:b/>
          <w:i/>
          <w:color w:val="4F6228" w:themeColor="accent3" w:themeShade="80"/>
        </w:rPr>
        <w:t>Porcentaje de la población activa de cada sexo</w:t>
      </w:r>
    </w:p>
    <w:p w:rsidR="004349F4" w:rsidRPr="001D3810" w:rsidRDefault="001E2FB6" w:rsidP="004349F4">
      <w:pPr>
        <w:widowControl w:val="0"/>
        <w:tabs>
          <w:tab w:val="left" w:pos="426"/>
        </w:tabs>
        <w:spacing w:after="0" w:line="240" w:lineRule="auto"/>
        <w:ind w:left="142"/>
        <w:jc w:val="center"/>
        <w:rPr>
          <w:rFonts w:ascii="Calibri" w:eastAsia="Times New Roman" w:hAnsi="Calibri" w:cs="Calibri"/>
          <w:lang w:eastAsia="es-ES"/>
        </w:rPr>
      </w:pPr>
      <w:r w:rsidRPr="001D3810">
        <w:rPr>
          <w:rFonts w:ascii="Calibri" w:eastAsia="Times New Roman" w:hAnsi="Calibri" w:cs="Calibri"/>
          <w:noProof/>
          <w:lang w:eastAsia="es-ES"/>
        </w:rPr>
        <w:drawing>
          <wp:inline distT="0" distB="0" distL="0" distR="0">
            <wp:extent cx="5400040" cy="3521207"/>
            <wp:effectExtent l="19050" t="0" r="10160" b="3043"/>
            <wp:docPr id="1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349F4" w:rsidRPr="004D1331" w:rsidRDefault="004349F4" w:rsidP="00EE6190">
      <w:pPr>
        <w:pStyle w:val="NormalWeb"/>
        <w:spacing w:before="0" w:beforeAutospacing="0" w:after="0" w:afterAutospacing="0"/>
        <w:ind w:left="709" w:right="707" w:hanging="142"/>
        <w:jc w:val="both"/>
        <w:rPr>
          <w:rFonts w:asciiTheme="minorHAnsi" w:hAnsiTheme="minorHAnsi"/>
          <w:color w:val="4F6228" w:themeColor="accent3" w:themeShade="80"/>
          <w:sz w:val="20"/>
          <w:szCs w:val="20"/>
        </w:rPr>
      </w:pPr>
      <w:r w:rsidRPr="004D1331">
        <w:rPr>
          <w:rFonts w:asciiTheme="minorHAnsi" w:eastAsiaTheme="minorEastAsia" w:hAnsiTheme="minorHAnsi"/>
          <w:bCs/>
          <w:i/>
          <w:iCs/>
          <w:color w:val="4F6228" w:themeColor="accent3" w:themeShade="80"/>
          <w:kern w:val="24"/>
          <w:sz w:val="20"/>
          <w:szCs w:val="20"/>
        </w:rPr>
        <w:t>Fuente: EPA (INE)</w:t>
      </w:r>
    </w:p>
    <w:p w:rsidR="004349F4" w:rsidRPr="001D3810" w:rsidRDefault="004349F4" w:rsidP="004349F4">
      <w:pPr>
        <w:tabs>
          <w:tab w:val="left" w:pos="993"/>
        </w:tabs>
        <w:spacing w:after="0" w:line="240" w:lineRule="auto"/>
        <w:jc w:val="both"/>
        <w:rPr>
          <w:rFonts w:cs="Arial"/>
          <w:sz w:val="24"/>
          <w:szCs w:val="24"/>
        </w:rPr>
      </w:pPr>
    </w:p>
    <w:p w:rsidR="004349F4" w:rsidRPr="004D1331" w:rsidRDefault="004349F4" w:rsidP="004349F4">
      <w:pPr>
        <w:tabs>
          <w:tab w:val="left" w:pos="993"/>
        </w:tabs>
        <w:spacing w:after="0" w:line="240" w:lineRule="auto"/>
        <w:jc w:val="both"/>
        <w:rPr>
          <w:rFonts w:cs="Arial"/>
          <w:color w:val="4F6228" w:themeColor="accent3" w:themeShade="80"/>
          <w:sz w:val="24"/>
          <w:szCs w:val="24"/>
        </w:rPr>
      </w:pPr>
      <w:r w:rsidRPr="001D3810">
        <w:rPr>
          <w:rFonts w:cs="Arial"/>
          <w:sz w:val="24"/>
          <w:szCs w:val="24"/>
        </w:rPr>
        <w:t xml:space="preserve">Por otro lado, </w:t>
      </w:r>
      <w:r w:rsidRPr="004D1331">
        <w:rPr>
          <w:rFonts w:cs="Arial"/>
          <w:b/>
          <w:color w:val="4F6228" w:themeColor="accent3" w:themeShade="80"/>
          <w:sz w:val="24"/>
          <w:szCs w:val="24"/>
        </w:rPr>
        <w:t>la brecha de los salarios</w:t>
      </w:r>
      <w:r w:rsidRPr="004D1331">
        <w:rPr>
          <w:rStyle w:val="Refdenotaalpie"/>
          <w:rFonts w:cs="Arial"/>
          <w:color w:val="4F6228" w:themeColor="accent3" w:themeShade="80"/>
          <w:sz w:val="24"/>
          <w:szCs w:val="24"/>
        </w:rPr>
        <w:footnoteReference w:id="6"/>
      </w:r>
      <w:r w:rsidRPr="004D1331">
        <w:rPr>
          <w:rFonts w:cs="Arial"/>
          <w:b/>
          <w:color w:val="4F6228" w:themeColor="accent3" w:themeShade="80"/>
          <w:sz w:val="24"/>
          <w:szCs w:val="24"/>
        </w:rPr>
        <w:t>percibidos por las mujeres respecto de los hombres (</w:t>
      </w:r>
      <w:r w:rsidRPr="004D1331">
        <w:rPr>
          <w:rFonts w:cs="Arial"/>
          <w:b/>
          <w:i/>
          <w:color w:val="4F6228" w:themeColor="accent3" w:themeShade="80"/>
          <w:sz w:val="24"/>
          <w:szCs w:val="24"/>
        </w:rPr>
        <w:t>brecha salarial</w:t>
      </w:r>
      <w:r w:rsidRPr="004D1331">
        <w:rPr>
          <w:rFonts w:cs="Arial"/>
          <w:b/>
          <w:color w:val="4F6228" w:themeColor="accent3" w:themeShade="80"/>
          <w:sz w:val="24"/>
          <w:szCs w:val="24"/>
        </w:rPr>
        <w:t xml:space="preserve">) </w:t>
      </w:r>
      <w:r w:rsidR="00F2083B" w:rsidRPr="004D1331">
        <w:rPr>
          <w:rFonts w:cs="Arial"/>
          <w:b/>
          <w:color w:val="4F6228" w:themeColor="accent3" w:themeShade="80"/>
          <w:sz w:val="24"/>
          <w:szCs w:val="24"/>
        </w:rPr>
        <w:t>sigue siendo muy elevada.</w:t>
      </w:r>
    </w:p>
    <w:p w:rsidR="004349F4" w:rsidRPr="004D1331" w:rsidRDefault="004349F4" w:rsidP="004349F4">
      <w:pPr>
        <w:tabs>
          <w:tab w:val="left" w:pos="993"/>
        </w:tabs>
        <w:spacing w:after="0" w:line="240" w:lineRule="auto"/>
        <w:jc w:val="both"/>
        <w:rPr>
          <w:rFonts w:cs="Arial"/>
          <w:color w:val="4F6228" w:themeColor="accent3" w:themeShade="80"/>
          <w:sz w:val="24"/>
          <w:szCs w:val="24"/>
        </w:rPr>
      </w:pPr>
    </w:p>
    <w:p w:rsidR="004349F4" w:rsidRPr="004D1331" w:rsidRDefault="004349F4" w:rsidP="004349F4">
      <w:pPr>
        <w:spacing w:after="0" w:line="240" w:lineRule="auto"/>
        <w:jc w:val="center"/>
        <w:rPr>
          <w:b/>
          <w:i/>
          <w:color w:val="4F6228" w:themeColor="accent3" w:themeShade="80"/>
          <w:sz w:val="28"/>
          <w:szCs w:val="28"/>
        </w:rPr>
      </w:pPr>
      <w:r w:rsidRPr="004D1331">
        <w:rPr>
          <w:b/>
          <w:i/>
          <w:color w:val="4F6228" w:themeColor="accent3" w:themeShade="80"/>
          <w:sz w:val="20"/>
          <w:szCs w:val="28"/>
        </w:rPr>
        <w:t>G2</w:t>
      </w:r>
      <w:r w:rsidR="00661223" w:rsidRPr="004D1331">
        <w:rPr>
          <w:b/>
          <w:i/>
          <w:color w:val="4F6228" w:themeColor="accent3" w:themeShade="80"/>
          <w:sz w:val="20"/>
          <w:szCs w:val="28"/>
        </w:rPr>
        <w:t>4</w:t>
      </w:r>
      <w:r w:rsidRPr="004D1331">
        <w:rPr>
          <w:b/>
          <w:i/>
          <w:color w:val="4F6228" w:themeColor="accent3" w:themeShade="80"/>
          <w:sz w:val="20"/>
          <w:szCs w:val="28"/>
        </w:rPr>
        <w:t xml:space="preserve"> - </w:t>
      </w:r>
      <w:r w:rsidRPr="004D1331">
        <w:rPr>
          <w:b/>
          <w:i/>
          <w:color w:val="4F6228" w:themeColor="accent3" w:themeShade="80"/>
          <w:sz w:val="28"/>
          <w:szCs w:val="28"/>
        </w:rPr>
        <w:t xml:space="preserve">Brecha salarial por </w:t>
      </w:r>
      <w:r w:rsidR="00E034F0" w:rsidRPr="004D1331">
        <w:rPr>
          <w:b/>
          <w:i/>
          <w:color w:val="4F6228" w:themeColor="accent3" w:themeShade="80"/>
          <w:sz w:val="28"/>
          <w:szCs w:val="28"/>
        </w:rPr>
        <w:t>edad</w:t>
      </w:r>
    </w:p>
    <w:p w:rsidR="004349F4" w:rsidRPr="001D3810" w:rsidRDefault="00E034F0" w:rsidP="004349F4">
      <w:pPr>
        <w:spacing w:after="0" w:line="240" w:lineRule="auto"/>
        <w:jc w:val="center"/>
        <w:rPr>
          <w:b/>
          <w:i/>
        </w:rPr>
      </w:pPr>
      <w:r w:rsidRPr="001D3810">
        <w:rPr>
          <w:b/>
          <w:i/>
        </w:rPr>
        <w:t>P</w:t>
      </w:r>
      <w:r w:rsidR="004349F4" w:rsidRPr="001D3810">
        <w:rPr>
          <w:b/>
          <w:i/>
        </w:rPr>
        <w:t xml:space="preserve">orcentaje </w:t>
      </w:r>
      <w:r w:rsidRPr="001D3810">
        <w:rPr>
          <w:b/>
          <w:i/>
        </w:rPr>
        <w:t xml:space="preserve">que es inferior el </w:t>
      </w:r>
      <w:r w:rsidR="004349F4" w:rsidRPr="001D3810">
        <w:rPr>
          <w:b/>
          <w:i/>
        </w:rPr>
        <w:t>salario de las mujeres respecto del de los hombres</w:t>
      </w:r>
    </w:p>
    <w:p w:rsidR="004349F4" w:rsidRPr="001D3810" w:rsidRDefault="009A0175" w:rsidP="004349F4">
      <w:pPr>
        <w:widowControl w:val="0"/>
        <w:tabs>
          <w:tab w:val="left" w:pos="426"/>
        </w:tabs>
        <w:spacing w:after="0" w:line="240" w:lineRule="auto"/>
        <w:ind w:left="142"/>
        <w:jc w:val="center"/>
        <w:rPr>
          <w:rFonts w:ascii="Calibri" w:eastAsia="Times New Roman" w:hAnsi="Calibri" w:cs="Calibri"/>
          <w:lang w:eastAsia="es-ES"/>
        </w:rPr>
      </w:pPr>
      <w:r w:rsidRPr="001D3810">
        <w:rPr>
          <w:noProof/>
          <w:lang w:eastAsia="es-ES"/>
        </w:rPr>
        <w:drawing>
          <wp:inline distT="0" distB="0" distL="0" distR="0">
            <wp:extent cx="4578985" cy="275018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8985" cy="2750185"/>
                    </a:xfrm>
                    <a:prstGeom prst="rect">
                      <a:avLst/>
                    </a:prstGeom>
                    <a:noFill/>
                    <a:ln>
                      <a:noFill/>
                    </a:ln>
                  </pic:spPr>
                </pic:pic>
              </a:graphicData>
            </a:graphic>
          </wp:inline>
        </w:drawing>
      </w:r>
    </w:p>
    <w:p w:rsidR="00E034F0" w:rsidRPr="004D1331" w:rsidRDefault="00E034F0" w:rsidP="00E034F0">
      <w:pPr>
        <w:widowControl w:val="0"/>
        <w:tabs>
          <w:tab w:val="left" w:pos="709"/>
        </w:tabs>
        <w:spacing w:after="0" w:line="240" w:lineRule="auto"/>
        <w:ind w:left="709" w:right="566"/>
        <w:jc w:val="both"/>
        <w:rPr>
          <w:rFonts w:ascii="Calibri" w:eastAsia="Times New Roman" w:hAnsi="Calibri" w:cs="Calibri"/>
          <w:i/>
          <w:color w:val="4F6228" w:themeColor="accent3" w:themeShade="80"/>
          <w:sz w:val="20"/>
          <w:lang w:eastAsia="es-ES"/>
        </w:rPr>
      </w:pPr>
      <w:r w:rsidRPr="004D1331">
        <w:rPr>
          <w:rFonts w:ascii="Calibri" w:eastAsia="Times New Roman" w:hAnsi="Calibri" w:cs="Calibri"/>
          <w:i/>
          <w:color w:val="4F6228" w:themeColor="accent3" w:themeShade="80"/>
          <w:sz w:val="20"/>
          <w:lang w:eastAsia="es-ES"/>
        </w:rPr>
        <w:t>Nota: La Encuesta no ofrece resultados para menores de 20 años por ser el número de observaciones reducido.</w:t>
      </w:r>
    </w:p>
    <w:p w:rsidR="004349F4" w:rsidRPr="004D1331" w:rsidRDefault="004349F4" w:rsidP="00E034F0">
      <w:pPr>
        <w:widowControl w:val="0"/>
        <w:tabs>
          <w:tab w:val="left" w:pos="709"/>
        </w:tabs>
        <w:spacing w:after="0" w:line="240" w:lineRule="auto"/>
        <w:ind w:left="709" w:right="566"/>
        <w:jc w:val="both"/>
        <w:rPr>
          <w:rFonts w:ascii="Calibri" w:eastAsia="Times New Roman" w:hAnsi="Calibri" w:cs="Calibri"/>
          <w:i/>
          <w:color w:val="4F6228" w:themeColor="accent3" w:themeShade="80"/>
          <w:sz w:val="20"/>
          <w:lang w:eastAsia="es-ES"/>
        </w:rPr>
      </w:pPr>
      <w:r w:rsidRPr="004D1331">
        <w:rPr>
          <w:rFonts w:ascii="Calibri" w:eastAsia="Times New Roman" w:hAnsi="Calibri" w:cs="Calibri"/>
          <w:i/>
          <w:color w:val="4F6228" w:themeColor="accent3" w:themeShade="80"/>
          <w:sz w:val="20"/>
          <w:lang w:eastAsia="es-ES"/>
        </w:rPr>
        <w:t>Fuente: Encuesta de Estructura Salarial 201</w:t>
      </w:r>
      <w:r w:rsidR="00E034F0" w:rsidRPr="004D1331">
        <w:rPr>
          <w:rFonts w:ascii="Calibri" w:eastAsia="Times New Roman" w:hAnsi="Calibri" w:cs="Calibri"/>
          <w:i/>
          <w:color w:val="4F6228" w:themeColor="accent3" w:themeShade="80"/>
          <w:sz w:val="20"/>
          <w:lang w:eastAsia="es-ES"/>
        </w:rPr>
        <w:t>5</w:t>
      </w:r>
      <w:r w:rsidRPr="004D1331">
        <w:rPr>
          <w:rFonts w:ascii="Calibri" w:eastAsia="Times New Roman" w:hAnsi="Calibri" w:cs="Calibri"/>
          <w:i/>
          <w:color w:val="4F6228" w:themeColor="accent3" w:themeShade="80"/>
          <w:sz w:val="20"/>
          <w:lang w:eastAsia="es-ES"/>
        </w:rPr>
        <w:t xml:space="preserve"> (INE)</w:t>
      </w:r>
    </w:p>
    <w:p w:rsidR="005F687A" w:rsidRPr="001D3810" w:rsidRDefault="005F687A" w:rsidP="00EE6190">
      <w:pPr>
        <w:tabs>
          <w:tab w:val="left" w:pos="993"/>
        </w:tabs>
        <w:spacing w:after="0" w:line="240" w:lineRule="auto"/>
        <w:jc w:val="both"/>
        <w:rPr>
          <w:rFonts w:cs="Arial"/>
          <w:sz w:val="24"/>
          <w:szCs w:val="24"/>
        </w:rPr>
      </w:pPr>
    </w:p>
    <w:p w:rsidR="00FF0FF5" w:rsidRPr="001D3810" w:rsidRDefault="00FF0FF5" w:rsidP="00EE6190">
      <w:pPr>
        <w:tabs>
          <w:tab w:val="left" w:pos="993"/>
        </w:tabs>
        <w:spacing w:after="0" w:line="240" w:lineRule="auto"/>
        <w:jc w:val="both"/>
        <w:rPr>
          <w:rFonts w:cs="Arial"/>
          <w:sz w:val="24"/>
          <w:szCs w:val="24"/>
        </w:rPr>
      </w:pPr>
    </w:p>
    <w:p w:rsidR="00EE6190" w:rsidRPr="004D1331" w:rsidRDefault="00EE6190" w:rsidP="00EE6190">
      <w:pPr>
        <w:tabs>
          <w:tab w:val="left" w:pos="993"/>
        </w:tabs>
        <w:spacing w:after="0" w:line="240" w:lineRule="auto"/>
        <w:jc w:val="both"/>
        <w:rPr>
          <w:rFonts w:cs="Arial"/>
          <w:color w:val="4F6228" w:themeColor="accent3" w:themeShade="80"/>
          <w:sz w:val="24"/>
          <w:szCs w:val="24"/>
        </w:rPr>
      </w:pPr>
      <w:r w:rsidRPr="001D3810">
        <w:rPr>
          <w:rFonts w:cs="Arial"/>
          <w:sz w:val="24"/>
          <w:szCs w:val="24"/>
        </w:rPr>
        <w:t>En el año 201</w:t>
      </w:r>
      <w:r w:rsidR="004865E4" w:rsidRPr="001D3810">
        <w:rPr>
          <w:rFonts w:cs="Arial"/>
          <w:sz w:val="24"/>
          <w:szCs w:val="24"/>
        </w:rPr>
        <w:t>5</w:t>
      </w:r>
      <w:r w:rsidRPr="001D3810">
        <w:rPr>
          <w:rFonts w:cs="Arial"/>
          <w:sz w:val="24"/>
          <w:szCs w:val="24"/>
        </w:rPr>
        <w:t xml:space="preserve">, el salario bruto medio anual de las mujeres fue </w:t>
      </w:r>
      <w:r w:rsidR="00F2083B" w:rsidRPr="001D3810">
        <w:rPr>
          <w:rFonts w:cs="Arial"/>
          <w:sz w:val="24"/>
          <w:szCs w:val="24"/>
        </w:rPr>
        <w:t>20.051,58</w:t>
      </w:r>
      <w:r w:rsidRPr="001D3810">
        <w:rPr>
          <w:rFonts w:cs="Arial"/>
          <w:sz w:val="24"/>
          <w:szCs w:val="24"/>
        </w:rPr>
        <w:t>euros y el de los hombres 25.</w:t>
      </w:r>
      <w:r w:rsidR="00F2083B" w:rsidRPr="001D3810">
        <w:rPr>
          <w:rFonts w:cs="Arial"/>
          <w:sz w:val="24"/>
          <w:szCs w:val="24"/>
        </w:rPr>
        <w:t>992,76</w:t>
      </w:r>
      <w:r w:rsidRPr="001D3810">
        <w:rPr>
          <w:rFonts w:cs="Arial"/>
          <w:sz w:val="24"/>
          <w:szCs w:val="24"/>
        </w:rPr>
        <w:t xml:space="preserve">, </w:t>
      </w:r>
      <w:r w:rsidRPr="004D1331">
        <w:rPr>
          <w:rFonts w:cs="Arial"/>
          <w:b/>
          <w:color w:val="4F6228" w:themeColor="accent3" w:themeShade="80"/>
          <w:sz w:val="24"/>
          <w:szCs w:val="24"/>
        </w:rPr>
        <w:t xml:space="preserve">una diferencia de casi 6.000 euros que supone una brecha salarial del </w:t>
      </w:r>
      <w:r w:rsidR="00F2083B" w:rsidRPr="004D1331">
        <w:rPr>
          <w:rFonts w:cs="Arial"/>
          <w:b/>
          <w:color w:val="4F6228" w:themeColor="accent3" w:themeShade="80"/>
          <w:sz w:val="24"/>
          <w:szCs w:val="24"/>
        </w:rPr>
        <w:t>22,9</w:t>
      </w:r>
      <w:r w:rsidRPr="004D1331">
        <w:rPr>
          <w:rFonts w:cs="Arial"/>
          <w:b/>
          <w:color w:val="4F6228" w:themeColor="accent3" w:themeShade="80"/>
          <w:sz w:val="24"/>
          <w:szCs w:val="24"/>
        </w:rPr>
        <w:t>%.</w:t>
      </w:r>
      <w:r w:rsidR="00B647B8" w:rsidRPr="001D3810">
        <w:rPr>
          <w:rFonts w:cs="Arial"/>
          <w:sz w:val="24"/>
          <w:szCs w:val="24"/>
        </w:rPr>
        <w:t xml:space="preserve">Aunque ha descendido algo en los dos últimos años para los que hay datos (en 2013 era del 24%), sigue siendo una diferencia enorme, que refleja no solo una estructura ocupacional muy sesgada en favor de los hombres, sino la </w:t>
      </w:r>
      <w:r w:rsidR="00B647B8" w:rsidRPr="004D1331">
        <w:rPr>
          <w:rFonts w:cs="Arial"/>
          <w:b/>
          <w:color w:val="4F6228" w:themeColor="accent3" w:themeShade="80"/>
          <w:sz w:val="24"/>
          <w:szCs w:val="24"/>
        </w:rPr>
        <w:t>persistencia de discriminaciones inaceptables que es preciso combatir</w:t>
      </w:r>
      <w:r w:rsidR="00B647B8" w:rsidRPr="004D1331">
        <w:rPr>
          <w:rFonts w:cs="Arial"/>
          <w:color w:val="4F6228" w:themeColor="accent3" w:themeShade="80"/>
          <w:sz w:val="24"/>
          <w:szCs w:val="24"/>
        </w:rPr>
        <w:t xml:space="preserve">. </w:t>
      </w:r>
    </w:p>
    <w:p w:rsidR="00B647B8" w:rsidRPr="001D3810" w:rsidRDefault="00B647B8" w:rsidP="00EE6190">
      <w:pPr>
        <w:tabs>
          <w:tab w:val="left" w:pos="993"/>
        </w:tabs>
        <w:spacing w:after="0" w:line="240" w:lineRule="auto"/>
        <w:jc w:val="both"/>
        <w:rPr>
          <w:rFonts w:cs="Arial"/>
          <w:sz w:val="24"/>
          <w:szCs w:val="24"/>
        </w:rPr>
      </w:pPr>
    </w:p>
    <w:p w:rsidR="00F2083B" w:rsidRPr="001D3810" w:rsidRDefault="00F2083B" w:rsidP="00EE6190">
      <w:pPr>
        <w:tabs>
          <w:tab w:val="left" w:pos="993"/>
        </w:tabs>
        <w:spacing w:after="0" w:line="240" w:lineRule="auto"/>
        <w:jc w:val="both"/>
        <w:rPr>
          <w:rFonts w:cs="Arial"/>
          <w:sz w:val="24"/>
          <w:szCs w:val="24"/>
        </w:rPr>
      </w:pPr>
      <w:r w:rsidRPr="001D3810">
        <w:rPr>
          <w:rFonts w:cs="Arial"/>
          <w:sz w:val="24"/>
          <w:szCs w:val="24"/>
        </w:rPr>
        <w:t xml:space="preserve">Resulta interesante el análisis por edad, que muestra una elevada brecha del 23,7% para las trabajadoras entre 20 y 24 años (no hay datos para menores de 20 años), que desciende al 14% al pasar al tramo de edad de 25 a 29 años, y que a partir de ahí </w:t>
      </w:r>
      <w:r w:rsidRPr="004D1331">
        <w:rPr>
          <w:rFonts w:cs="Arial"/>
          <w:b/>
          <w:color w:val="4F6228" w:themeColor="accent3" w:themeShade="80"/>
          <w:sz w:val="24"/>
          <w:szCs w:val="24"/>
        </w:rPr>
        <w:t>aumenta continuamente conforme lo hace la edad</w:t>
      </w:r>
      <w:r w:rsidRPr="001D3810">
        <w:rPr>
          <w:rFonts w:cs="Arial"/>
          <w:sz w:val="24"/>
          <w:szCs w:val="24"/>
        </w:rPr>
        <w:t xml:space="preserve">, alcanzando el máximo en el grupo de 55 a 59 años, y volviendo a descender algo para las asalariadas de 60 a 64 años. Un comportamiento que puede estar relacionado con la mayor cualificación de las trabajadoras más jóvenes, que posibilita el acceso a profesiones con mayores salarios y menor peso del empleo a tiempo parcial. </w:t>
      </w:r>
    </w:p>
    <w:p w:rsidR="00EE6190" w:rsidRPr="001D3810" w:rsidRDefault="00EE6190" w:rsidP="00EE6190">
      <w:pPr>
        <w:tabs>
          <w:tab w:val="left" w:pos="993"/>
        </w:tabs>
        <w:spacing w:after="0" w:line="240" w:lineRule="auto"/>
        <w:jc w:val="both"/>
        <w:rPr>
          <w:rFonts w:cs="Arial"/>
          <w:sz w:val="24"/>
          <w:szCs w:val="24"/>
        </w:rPr>
      </w:pPr>
    </w:p>
    <w:p w:rsidR="00EE6190" w:rsidRPr="001D3810" w:rsidRDefault="00EE6190" w:rsidP="00772F0D">
      <w:pPr>
        <w:spacing w:after="0" w:line="240" w:lineRule="auto"/>
        <w:jc w:val="both"/>
        <w:rPr>
          <w:sz w:val="24"/>
          <w:szCs w:val="24"/>
        </w:rPr>
      </w:pPr>
    </w:p>
    <w:p w:rsidR="00031CAD" w:rsidRPr="001D3810" w:rsidRDefault="00031CAD" w:rsidP="00772F0D">
      <w:pPr>
        <w:spacing w:after="0" w:line="240" w:lineRule="auto"/>
        <w:jc w:val="both"/>
        <w:rPr>
          <w:sz w:val="24"/>
          <w:szCs w:val="24"/>
        </w:rPr>
      </w:pPr>
    </w:p>
    <w:p w:rsidR="004B6734" w:rsidRPr="004D1331" w:rsidRDefault="00343B0D" w:rsidP="00AA4DF7">
      <w:pPr>
        <w:pStyle w:val="Prrafodelista"/>
        <w:numPr>
          <w:ilvl w:val="0"/>
          <w:numId w:val="13"/>
        </w:numPr>
        <w:spacing w:after="0" w:line="240" w:lineRule="auto"/>
        <w:ind w:left="426" w:hanging="426"/>
        <w:jc w:val="both"/>
        <w:rPr>
          <w:b/>
          <w:color w:val="4F6228" w:themeColor="accent3" w:themeShade="80"/>
          <w:sz w:val="28"/>
          <w:szCs w:val="28"/>
        </w:rPr>
      </w:pPr>
      <w:r w:rsidRPr="004D1331">
        <w:rPr>
          <w:b/>
          <w:color w:val="4F6228" w:themeColor="accent3" w:themeShade="80"/>
          <w:sz w:val="28"/>
          <w:szCs w:val="28"/>
        </w:rPr>
        <w:lastRenderedPageBreak/>
        <w:t>Los niveles de pobreza y desigualdad son muy elevados</w:t>
      </w:r>
    </w:p>
    <w:p w:rsidR="004B6734" w:rsidRPr="001D3810" w:rsidRDefault="004B6734" w:rsidP="004B6734">
      <w:pPr>
        <w:spacing w:after="0" w:line="240" w:lineRule="auto"/>
        <w:jc w:val="both"/>
        <w:rPr>
          <w:sz w:val="24"/>
          <w:szCs w:val="24"/>
        </w:rPr>
      </w:pPr>
    </w:p>
    <w:p w:rsidR="00073990" w:rsidRPr="001D3810" w:rsidRDefault="00694B76" w:rsidP="00D063AC">
      <w:pPr>
        <w:widowControl w:val="0"/>
        <w:tabs>
          <w:tab w:val="left" w:pos="4830"/>
        </w:tabs>
        <w:spacing w:after="0" w:line="240" w:lineRule="auto"/>
        <w:jc w:val="both"/>
        <w:rPr>
          <w:rFonts w:ascii="Calibri" w:eastAsia="Times New Roman" w:hAnsi="Calibri" w:cs="Calibri"/>
          <w:b/>
          <w:sz w:val="24"/>
          <w:szCs w:val="24"/>
          <w:lang w:eastAsia="es-ES"/>
        </w:rPr>
      </w:pPr>
      <w:r w:rsidRPr="004D1331">
        <w:rPr>
          <w:rFonts w:ascii="Calibri" w:eastAsia="Times New Roman" w:hAnsi="Calibri" w:cs="Calibri"/>
          <w:b/>
          <w:color w:val="4F6228" w:themeColor="accent3" w:themeShade="80"/>
          <w:sz w:val="24"/>
          <w:szCs w:val="24"/>
          <w:lang w:eastAsia="es-ES"/>
        </w:rPr>
        <w:t>La devaluación salarial</w:t>
      </w:r>
      <w:r w:rsidR="009C30B2" w:rsidRPr="004D1331">
        <w:rPr>
          <w:rFonts w:ascii="Calibri" w:eastAsia="Times New Roman" w:hAnsi="Calibri" w:cs="Calibri"/>
          <w:b/>
          <w:color w:val="4F6228" w:themeColor="accent3" w:themeShade="80"/>
          <w:sz w:val="24"/>
          <w:szCs w:val="24"/>
          <w:lang w:eastAsia="es-ES"/>
        </w:rPr>
        <w:t>,</w:t>
      </w:r>
      <w:r w:rsidR="00630FC7" w:rsidRPr="004D1331">
        <w:rPr>
          <w:rFonts w:ascii="Calibri" w:eastAsia="Times New Roman" w:hAnsi="Calibri" w:cs="Calibri"/>
          <w:b/>
          <w:color w:val="4F6228" w:themeColor="accent3" w:themeShade="80"/>
          <w:sz w:val="24"/>
          <w:szCs w:val="24"/>
          <w:lang w:eastAsia="es-ES"/>
        </w:rPr>
        <w:t xml:space="preserve"> el alto nivel de desempleo, la elevada precariedad del empleo creado y el recorte de las prestaciones sociales han provocado </w:t>
      </w:r>
      <w:r w:rsidRPr="004D1331">
        <w:rPr>
          <w:rFonts w:ascii="Calibri" w:eastAsia="Times New Roman" w:hAnsi="Calibri" w:cs="Calibri"/>
          <w:b/>
          <w:color w:val="4F6228" w:themeColor="accent3" w:themeShade="80"/>
          <w:sz w:val="24"/>
          <w:szCs w:val="24"/>
          <w:lang w:eastAsia="es-ES"/>
        </w:rPr>
        <w:t xml:space="preserve">una reducción de la renta </w:t>
      </w:r>
      <w:r w:rsidR="00630FC7" w:rsidRPr="004D1331">
        <w:rPr>
          <w:rFonts w:ascii="Calibri" w:eastAsia="Times New Roman" w:hAnsi="Calibri" w:cs="Calibri"/>
          <w:b/>
          <w:color w:val="4F6228" w:themeColor="accent3" w:themeShade="80"/>
          <w:sz w:val="24"/>
          <w:szCs w:val="24"/>
          <w:lang w:eastAsia="es-ES"/>
        </w:rPr>
        <w:t>personal y familiar, un aumento de los niveles de pobreza y de exclusión social y un incremento de las desigualdades</w:t>
      </w:r>
      <w:r w:rsidR="00630FC7" w:rsidRPr="001D3810">
        <w:rPr>
          <w:rFonts w:ascii="Calibri" w:eastAsia="Times New Roman" w:hAnsi="Calibri" w:cs="Calibri"/>
          <w:b/>
          <w:sz w:val="24"/>
          <w:szCs w:val="24"/>
          <w:lang w:eastAsia="es-ES"/>
        </w:rPr>
        <w:t>.</w:t>
      </w:r>
      <w:r w:rsidR="00FF0FF5" w:rsidRPr="001D3810">
        <w:rPr>
          <w:rFonts w:ascii="Calibri" w:eastAsia="Times New Roman" w:hAnsi="Calibri" w:cs="Calibri"/>
          <w:b/>
          <w:sz w:val="24"/>
          <w:szCs w:val="24"/>
          <w:lang w:eastAsia="es-ES"/>
        </w:rPr>
        <w:t xml:space="preserve"> </w:t>
      </w:r>
      <w:r w:rsidR="00630FC7" w:rsidRPr="001D3810">
        <w:rPr>
          <w:rFonts w:ascii="Calibri" w:eastAsia="Times New Roman" w:hAnsi="Calibri" w:cs="Calibri"/>
          <w:sz w:val="24"/>
          <w:szCs w:val="24"/>
          <w:lang w:eastAsia="es-ES"/>
        </w:rPr>
        <w:t>Nuestra sociedad es ahora m</w:t>
      </w:r>
      <w:r w:rsidR="00366FAD" w:rsidRPr="001D3810">
        <w:rPr>
          <w:rFonts w:ascii="Calibri" w:eastAsia="Times New Roman" w:hAnsi="Calibri" w:cs="Calibri"/>
          <w:sz w:val="24"/>
          <w:szCs w:val="24"/>
          <w:lang w:eastAsia="es-ES"/>
        </w:rPr>
        <w:t xml:space="preserve">ás pobre y desigual, y la calidad de vida de la mayoría de la población se ha reducido. </w:t>
      </w:r>
    </w:p>
    <w:p w:rsidR="00D063AC" w:rsidRPr="001D3810" w:rsidRDefault="00D063AC" w:rsidP="00D063AC">
      <w:pPr>
        <w:widowControl w:val="0"/>
        <w:tabs>
          <w:tab w:val="left" w:pos="4830"/>
        </w:tabs>
        <w:spacing w:after="0" w:line="240" w:lineRule="auto"/>
        <w:jc w:val="both"/>
        <w:rPr>
          <w:rFonts w:ascii="Calibri" w:eastAsia="Times New Roman" w:hAnsi="Calibri" w:cs="Calibri"/>
          <w:b/>
          <w:sz w:val="24"/>
          <w:szCs w:val="24"/>
          <w:lang w:eastAsia="es-ES"/>
        </w:rPr>
      </w:pPr>
    </w:p>
    <w:p w:rsidR="00366FAD" w:rsidRPr="004D1331" w:rsidRDefault="00366FAD" w:rsidP="00D063AC">
      <w:pPr>
        <w:widowControl w:val="0"/>
        <w:tabs>
          <w:tab w:val="left" w:pos="4830"/>
        </w:tabs>
        <w:spacing w:after="0" w:line="240" w:lineRule="auto"/>
        <w:jc w:val="both"/>
        <w:rPr>
          <w:rFonts w:ascii="Calibri" w:eastAsia="Times New Roman" w:hAnsi="Calibri" w:cs="Calibri"/>
          <w:color w:val="4F6228" w:themeColor="accent3" w:themeShade="80"/>
          <w:sz w:val="24"/>
          <w:szCs w:val="24"/>
          <w:lang w:eastAsia="es-ES"/>
        </w:rPr>
      </w:pPr>
      <w:r w:rsidRPr="001D3810">
        <w:rPr>
          <w:rFonts w:ascii="Calibri" w:eastAsia="Times New Roman" w:hAnsi="Calibri" w:cs="Calibri"/>
          <w:sz w:val="24"/>
          <w:szCs w:val="24"/>
          <w:lang w:eastAsia="es-ES"/>
        </w:rPr>
        <w:t>Esto se constató</w:t>
      </w:r>
      <w:r w:rsidR="00C90B31" w:rsidRPr="001D3810">
        <w:rPr>
          <w:rFonts w:ascii="Calibri" w:eastAsia="Times New Roman" w:hAnsi="Calibri" w:cs="Calibri"/>
          <w:sz w:val="24"/>
          <w:szCs w:val="24"/>
          <w:lang w:eastAsia="es-ES"/>
        </w:rPr>
        <w:t>,</w:t>
      </w:r>
      <w:r w:rsidRPr="001D3810">
        <w:rPr>
          <w:rFonts w:ascii="Calibri" w:eastAsia="Times New Roman" w:hAnsi="Calibri" w:cs="Calibri"/>
          <w:sz w:val="24"/>
          <w:szCs w:val="24"/>
          <w:lang w:eastAsia="es-ES"/>
        </w:rPr>
        <w:t xml:space="preserve"> muy nítida</w:t>
      </w:r>
      <w:r w:rsidR="00C90B31" w:rsidRPr="001D3810">
        <w:rPr>
          <w:rFonts w:ascii="Calibri" w:eastAsia="Times New Roman" w:hAnsi="Calibri" w:cs="Calibri"/>
          <w:sz w:val="24"/>
          <w:szCs w:val="24"/>
          <w:lang w:eastAsia="es-ES"/>
        </w:rPr>
        <w:t>mente,</w:t>
      </w:r>
      <w:r w:rsidRPr="001D3810">
        <w:rPr>
          <w:rFonts w:ascii="Calibri" w:eastAsia="Times New Roman" w:hAnsi="Calibri" w:cs="Calibri"/>
          <w:sz w:val="24"/>
          <w:szCs w:val="24"/>
          <w:lang w:eastAsia="es-ES"/>
        </w:rPr>
        <w:t xml:space="preserve"> de 2010 a 2013, como efecto de la crisis y de las políticas de recortes llevadas a cabo. Pero ahora sucede que el crecimiento económico no se está traduciendo en una reversi</w:t>
      </w:r>
      <w:r w:rsidR="009C30B2" w:rsidRPr="001D3810">
        <w:rPr>
          <w:rFonts w:ascii="Calibri" w:eastAsia="Times New Roman" w:hAnsi="Calibri" w:cs="Calibri"/>
          <w:sz w:val="24"/>
          <w:szCs w:val="24"/>
          <w:lang w:eastAsia="es-ES"/>
        </w:rPr>
        <w:t xml:space="preserve">ón de esas situaciones. </w:t>
      </w:r>
      <w:r w:rsidR="009C30B2" w:rsidRPr="004D1331">
        <w:rPr>
          <w:rFonts w:ascii="Calibri" w:eastAsia="Times New Roman" w:hAnsi="Calibri" w:cs="Calibri"/>
          <w:b/>
          <w:color w:val="4F6228" w:themeColor="accent3" w:themeShade="80"/>
          <w:sz w:val="24"/>
          <w:szCs w:val="24"/>
          <w:lang w:eastAsia="es-ES"/>
        </w:rPr>
        <w:t>Crece el PIB, se crea empleo, pero no se traduce en una mejora de la calidad de vida de las familias</w:t>
      </w:r>
      <w:r w:rsidR="009C30B2" w:rsidRPr="004D1331">
        <w:rPr>
          <w:rFonts w:ascii="Calibri" w:eastAsia="Times New Roman" w:hAnsi="Calibri" w:cs="Calibri"/>
          <w:color w:val="4F6228" w:themeColor="accent3" w:themeShade="80"/>
          <w:sz w:val="24"/>
          <w:szCs w:val="24"/>
          <w:lang w:eastAsia="es-ES"/>
        </w:rPr>
        <w:t xml:space="preserve">. </w:t>
      </w:r>
    </w:p>
    <w:p w:rsidR="00073990" w:rsidRPr="001D3810" w:rsidRDefault="00073990" w:rsidP="00D063AC">
      <w:pPr>
        <w:widowControl w:val="0"/>
        <w:tabs>
          <w:tab w:val="left" w:pos="4830"/>
        </w:tabs>
        <w:spacing w:after="0" w:line="240" w:lineRule="auto"/>
        <w:jc w:val="both"/>
        <w:rPr>
          <w:rFonts w:ascii="Calibri" w:eastAsia="Times New Roman" w:hAnsi="Calibri" w:cs="Calibri"/>
          <w:sz w:val="24"/>
          <w:szCs w:val="24"/>
          <w:lang w:eastAsia="es-ES"/>
        </w:rPr>
      </w:pPr>
    </w:p>
    <w:p w:rsidR="00073990" w:rsidRPr="001D3810" w:rsidRDefault="00073990" w:rsidP="00D063AC">
      <w:pPr>
        <w:widowControl w:val="0"/>
        <w:tabs>
          <w:tab w:val="left" w:pos="4830"/>
        </w:tabs>
        <w:spacing w:after="0" w:line="240" w:lineRule="auto"/>
        <w:jc w:val="both"/>
        <w:rPr>
          <w:rFonts w:ascii="Calibri" w:eastAsia="Times New Roman" w:hAnsi="Calibri" w:cs="Calibri"/>
          <w:sz w:val="24"/>
          <w:szCs w:val="24"/>
          <w:lang w:eastAsia="es-ES"/>
        </w:rPr>
      </w:pPr>
      <w:r w:rsidRPr="001D3810">
        <w:rPr>
          <w:rFonts w:ascii="Calibri" w:eastAsia="Times New Roman" w:hAnsi="Calibri" w:cs="Calibri"/>
          <w:sz w:val="24"/>
          <w:szCs w:val="24"/>
          <w:lang w:eastAsia="es-ES"/>
        </w:rPr>
        <w:t xml:space="preserve">Una realidad tan visible y evidente que está siendo puesta de manifiesto reiteradamente y de manera muy contundente por los principales organismos internacionales (Comisión Europea, FMI, OCDE, OIT) en sus informes. </w:t>
      </w:r>
    </w:p>
    <w:p w:rsidR="00D063AC" w:rsidRPr="001D3810" w:rsidRDefault="00D063AC" w:rsidP="00D063AC">
      <w:pPr>
        <w:widowControl w:val="0"/>
        <w:tabs>
          <w:tab w:val="left" w:pos="4830"/>
        </w:tabs>
        <w:spacing w:after="0" w:line="240" w:lineRule="auto"/>
        <w:jc w:val="both"/>
        <w:rPr>
          <w:rFonts w:ascii="Calibri" w:eastAsia="Times New Roman" w:hAnsi="Calibri" w:cs="Calibri"/>
          <w:sz w:val="24"/>
          <w:szCs w:val="24"/>
          <w:lang w:eastAsia="es-ES"/>
        </w:rPr>
      </w:pPr>
    </w:p>
    <w:p w:rsidR="00694B76" w:rsidRPr="004D1331" w:rsidRDefault="00C319E1" w:rsidP="00694B76">
      <w:pPr>
        <w:widowControl w:val="0"/>
        <w:tabs>
          <w:tab w:val="left" w:pos="4830"/>
        </w:tabs>
        <w:spacing w:after="0" w:line="240" w:lineRule="auto"/>
        <w:jc w:val="center"/>
        <w:rPr>
          <w:rFonts w:ascii="Calibri" w:eastAsia="Times New Roman" w:hAnsi="Calibri" w:cs="Calibri"/>
          <w:b/>
          <w:i/>
          <w:color w:val="4F6228" w:themeColor="accent3" w:themeShade="80"/>
          <w:sz w:val="26"/>
          <w:szCs w:val="26"/>
          <w:lang w:eastAsia="es-ES"/>
        </w:rPr>
      </w:pPr>
      <w:r w:rsidRPr="004D1331">
        <w:rPr>
          <w:b/>
          <w:i/>
          <w:color w:val="4F6228" w:themeColor="accent3" w:themeShade="80"/>
          <w:sz w:val="20"/>
          <w:szCs w:val="28"/>
        </w:rPr>
        <w:t>C</w:t>
      </w:r>
      <w:r w:rsidR="00A026AD" w:rsidRPr="004D1331">
        <w:rPr>
          <w:b/>
          <w:i/>
          <w:color w:val="4F6228" w:themeColor="accent3" w:themeShade="80"/>
          <w:sz w:val="20"/>
          <w:szCs w:val="28"/>
        </w:rPr>
        <w:t>7</w:t>
      </w:r>
      <w:r w:rsidRPr="004D1331">
        <w:rPr>
          <w:b/>
          <w:i/>
          <w:color w:val="4F6228" w:themeColor="accent3" w:themeShade="80"/>
          <w:sz w:val="20"/>
          <w:szCs w:val="28"/>
        </w:rPr>
        <w:t xml:space="preserve"> - </w:t>
      </w:r>
      <w:r w:rsidR="00311A3E" w:rsidRPr="004D1331">
        <w:rPr>
          <w:rFonts w:ascii="Calibri" w:eastAsia="Times New Roman" w:hAnsi="Calibri" w:cs="Calibri"/>
          <w:b/>
          <w:i/>
          <w:color w:val="4F6228" w:themeColor="accent3" w:themeShade="80"/>
          <w:sz w:val="26"/>
          <w:szCs w:val="26"/>
          <w:lang w:eastAsia="es-ES"/>
        </w:rPr>
        <w:t>Indicadores de pobreza, exclusión social y desigualdad 2009-201</w:t>
      </w:r>
      <w:r w:rsidR="00F3614A" w:rsidRPr="004D1331">
        <w:rPr>
          <w:rFonts w:ascii="Calibri" w:eastAsia="Times New Roman" w:hAnsi="Calibri" w:cs="Calibri"/>
          <w:b/>
          <w:i/>
          <w:color w:val="4F6228" w:themeColor="accent3" w:themeShade="80"/>
          <w:sz w:val="26"/>
          <w:szCs w:val="26"/>
          <w:lang w:eastAsia="es-ES"/>
        </w:rPr>
        <w:t>6</w:t>
      </w:r>
    </w:p>
    <w:tbl>
      <w:tblPr>
        <w:tblStyle w:val="Tablaconcuadrcula"/>
        <w:tblW w:w="0" w:type="auto"/>
        <w:tblLook w:val="04A0"/>
      </w:tblPr>
      <w:tblGrid>
        <w:gridCol w:w="3652"/>
        <w:gridCol w:w="1843"/>
        <w:gridCol w:w="850"/>
        <w:gridCol w:w="851"/>
        <w:gridCol w:w="1448"/>
      </w:tblGrid>
      <w:tr w:rsidR="00FF0FF5" w:rsidRPr="001D3810" w:rsidTr="00FF0FF5">
        <w:tc>
          <w:tcPr>
            <w:tcW w:w="3652" w:type="dxa"/>
            <w:tcBorders>
              <w:bottom w:val="single" w:sz="4" w:space="0" w:color="000000" w:themeColor="text1"/>
            </w:tcBorders>
          </w:tcPr>
          <w:p w:rsidR="00FF0FF5" w:rsidRPr="001D3810" w:rsidRDefault="00FF0FF5" w:rsidP="00376B24">
            <w:pPr>
              <w:widowControl w:val="0"/>
              <w:tabs>
                <w:tab w:val="left" w:pos="426"/>
              </w:tabs>
              <w:jc w:val="center"/>
              <w:rPr>
                <w:rFonts w:ascii="Calibri" w:eastAsia="Times New Roman" w:hAnsi="Calibri" w:cs="Calibri"/>
                <w:b/>
                <w:lang w:eastAsia="es-ES"/>
              </w:rPr>
            </w:pPr>
          </w:p>
        </w:tc>
        <w:tc>
          <w:tcPr>
            <w:tcW w:w="1843" w:type="dxa"/>
            <w:tcBorders>
              <w:bottom w:val="single" w:sz="4" w:space="0" w:color="000000" w:themeColor="text1"/>
            </w:tcBorders>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UNIDAD</w:t>
            </w:r>
          </w:p>
        </w:tc>
        <w:tc>
          <w:tcPr>
            <w:tcW w:w="850" w:type="dxa"/>
            <w:tcBorders>
              <w:bottom w:val="single" w:sz="4" w:space="0" w:color="000000" w:themeColor="text1"/>
            </w:tcBorders>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2009</w:t>
            </w:r>
          </w:p>
        </w:tc>
        <w:tc>
          <w:tcPr>
            <w:tcW w:w="851" w:type="dxa"/>
            <w:tcBorders>
              <w:bottom w:val="single" w:sz="4" w:space="0" w:color="000000" w:themeColor="text1"/>
            </w:tcBorders>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2016</w:t>
            </w:r>
          </w:p>
        </w:tc>
        <w:tc>
          <w:tcPr>
            <w:tcW w:w="1448" w:type="dxa"/>
            <w:tcBorders>
              <w:bottom w:val="single" w:sz="4" w:space="0" w:color="000000" w:themeColor="text1"/>
            </w:tcBorders>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DIFERENCIA</w:t>
            </w:r>
          </w:p>
        </w:tc>
      </w:tr>
      <w:tr w:rsidR="00FF0FF5" w:rsidRPr="001D3810" w:rsidTr="00FF0FF5">
        <w:tc>
          <w:tcPr>
            <w:tcW w:w="8644" w:type="dxa"/>
            <w:gridSpan w:val="5"/>
            <w:shd w:val="clear" w:color="auto" w:fill="A6A6A6" w:themeFill="background1" w:themeFillShade="A6"/>
          </w:tcPr>
          <w:p w:rsidR="00FF0FF5" w:rsidRPr="001D3810" w:rsidRDefault="00FF0FF5" w:rsidP="00FF0FF5">
            <w:pPr>
              <w:widowControl w:val="0"/>
              <w:tabs>
                <w:tab w:val="left" w:pos="426"/>
              </w:tabs>
              <w:rPr>
                <w:rFonts w:ascii="Calibri" w:eastAsia="Times New Roman" w:hAnsi="Calibri" w:cs="Calibri"/>
                <w:b/>
                <w:lang w:eastAsia="es-ES"/>
              </w:rPr>
            </w:pPr>
            <w:r w:rsidRPr="001D3810">
              <w:rPr>
                <w:rFonts w:ascii="Calibri" w:eastAsia="Times New Roman" w:hAnsi="Calibri" w:cs="Calibri"/>
                <w:b/>
                <w:lang w:eastAsia="es-ES"/>
              </w:rPr>
              <w:t>RENTAS</w:t>
            </w:r>
          </w:p>
        </w:tc>
      </w:tr>
      <w:tr w:rsidR="00FF0FF5" w:rsidRPr="001D3810" w:rsidTr="00FF0FF5">
        <w:tc>
          <w:tcPr>
            <w:tcW w:w="3652" w:type="dxa"/>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RENTA MEDIA POR HOGAR</w:t>
            </w:r>
          </w:p>
        </w:tc>
        <w:tc>
          <w:tcPr>
            <w:tcW w:w="1843"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Euros/año</w:t>
            </w:r>
          </w:p>
        </w:tc>
        <w:tc>
          <w:tcPr>
            <w:tcW w:w="850"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26.125</w:t>
            </w:r>
          </w:p>
        </w:tc>
        <w:tc>
          <w:tcPr>
            <w:tcW w:w="851"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21.966</w:t>
            </w:r>
          </w:p>
        </w:tc>
        <w:tc>
          <w:tcPr>
            <w:tcW w:w="1448"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-4.159</w:t>
            </w:r>
          </w:p>
        </w:tc>
      </w:tr>
      <w:tr w:rsidR="00FF0FF5" w:rsidRPr="001D3810" w:rsidTr="00FF0FF5">
        <w:tc>
          <w:tcPr>
            <w:tcW w:w="3652" w:type="dxa"/>
            <w:tcBorders>
              <w:bottom w:val="single" w:sz="4" w:space="0" w:color="000000" w:themeColor="text1"/>
            </w:tcBorders>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RENTA MEDIA POR PERSONA</w:t>
            </w:r>
          </w:p>
        </w:tc>
        <w:tc>
          <w:tcPr>
            <w:tcW w:w="1843" w:type="dxa"/>
            <w:tcBorders>
              <w:bottom w:val="single" w:sz="4" w:space="0" w:color="000000" w:themeColor="text1"/>
            </w:tcBorders>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Euros/año</w:t>
            </w:r>
          </w:p>
        </w:tc>
        <w:tc>
          <w:tcPr>
            <w:tcW w:w="850" w:type="dxa"/>
            <w:tcBorders>
              <w:bottom w:val="single" w:sz="4" w:space="0" w:color="000000" w:themeColor="text1"/>
            </w:tcBorders>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9.406</w:t>
            </w:r>
          </w:p>
        </w:tc>
        <w:tc>
          <w:tcPr>
            <w:tcW w:w="851" w:type="dxa"/>
            <w:tcBorders>
              <w:bottom w:val="single" w:sz="4" w:space="0" w:color="000000" w:themeColor="text1"/>
            </w:tcBorders>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8.398</w:t>
            </w:r>
          </w:p>
        </w:tc>
        <w:tc>
          <w:tcPr>
            <w:tcW w:w="1448" w:type="dxa"/>
            <w:tcBorders>
              <w:bottom w:val="single" w:sz="4" w:space="0" w:color="000000" w:themeColor="text1"/>
            </w:tcBorders>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-1.008</w:t>
            </w:r>
          </w:p>
        </w:tc>
      </w:tr>
      <w:tr w:rsidR="00FF0FF5" w:rsidRPr="001D3810" w:rsidTr="00FF0FF5">
        <w:tc>
          <w:tcPr>
            <w:tcW w:w="8644" w:type="dxa"/>
            <w:gridSpan w:val="5"/>
            <w:shd w:val="clear" w:color="auto" w:fill="A6A6A6" w:themeFill="background1" w:themeFillShade="A6"/>
          </w:tcPr>
          <w:p w:rsidR="00FF0FF5" w:rsidRPr="001D3810" w:rsidRDefault="00FF0FF5" w:rsidP="00FF0FF5">
            <w:pPr>
              <w:widowControl w:val="0"/>
              <w:tabs>
                <w:tab w:val="left" w:pos="426"/>
              </w:tabs>
              <w:rPr>
                <w:rFonts w:ascii="Calibri" w:eastAsia="Times New Roman" w:hAnsi="Calibri" w:cs="Calibri"/>
                <w:lang w:eastAsia="es-ES"/>
              </w:rPr>
            </w:pPr>
            <w:r w:rsidRPr="001D3810">
              <w:rPr>
                <w:rFonts w:ascii="Calibri" w:eastAsia="Times New Roman" w:hAnsi="Calibri" w:cs="Calibri"/>
                <w:b/>
                <w:lang w:eastAsia="es-ES"/>
              </w:rPr>
              <w:t>POBREZA Y EXCLUSIÓN SOCIAL</w:t>
            </w:r>
          </w:p>
        </w:tc>
      </w:tr>
      <w:tr w:rsidR="00FF0FF5" w:rsidRPr="001D3810" w:rsidTr="00FF0FF5">
        <w:tc>
          <w:tcPr>
            <w:tcW w:w="3652" w:type="dxa"/>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POBLACIÓN EN RIESGO DE PROBREZA O EXCLUSIÓN SOCIAL</w:t>
            </w:r>
          </w:p>
        </w:tc>
        <w:tc>
          <w:tcPr>
            <w:tcW w:w="1843"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p>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 Población total</w:t>
            </w:r>
          </w:p>
        </w:tc>
        <w:tc>
          <w:tcPr>
            <w:tcW w:w="850"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p>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33,3</w:t>
            </w:r>
          </w:p>
        </w:tc>
        <w:tc>
          <w:tcPr>
            <w:tcW w:w="851"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p>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41,7</w:t>
            </w:r>
          </w:p>
        </w:tc>
        <w:tc>
          <w:tcPr>
            <w:tcW w:w="1448"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p>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8,4</w:t>
            </w:r>
          </w:p>
        </w:tc>
      </w:tr>
      <w:tr w:rsidR="00FF0FF5" w:rsidRPr="001D3810" w:rsidTr="00FF0FF5">
        <w:tc>
          <w:tcPr>
            <w:tcW w:w="3652" w:type="dxa"/>
          </w:tcPr>
          <w:p w:rsidR="00FF0FF5" w:rsidRPr="004D1331" w:rsidRDefault="00FF0FF5" w:rsidP="00376B24">
            <w:pPr>
              <w:widowControl w:val="0"/>
              <w:tabs>
                <w:tab w:val="left" w:pos="426"/>
              </w:tabs>
              <w:jc w:val="center"/>
              <w:rPr>
                <w:rFonts w:ascii="Calibri" w:eastAsia="Times New Roman" w:hAnsi="Calibri" w:cs="Calibri"/>
                <w:b/>
                <w:color w:val="4F6228" w:themeColor="accent3" w:themeShade="80"/>
                <w:lang w:eastAsia="es-ES"/>
              </w:rPr>
            </w:pPr>
            <w:r w:rsidRPr="004D1331">
              <w:rPr>
                <w:rFonts w:ascii="Calibri" w:eastAsia="Times New Roman" w:hAnsi="Calibri" w:cs="Calibri"/>
                <w:b/>
                <w:color w:val="4F6228" w:themeColor="accent3" w:themeShade="80"/>
                <w:lang w:eastAsia="es-ES"/>
              </w:rPr>
              <w:t>POBLACIÓN EN RIESGO DE POBREZA</w:t>
            </w:r>
          </w:p>
        </w:tc>
        <w:tc>
          <w:tcPr>
            <w:tcW w:w="1843"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p>
        </w:tc>
        <w:tc>
          <w:tcPr>
            <w:tcW w:w="850"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28,8</w:t>
            </w:r>
          </w:p>
        </w:tc>
        <w:tc>
          <w:tcPr>
            <w:tcW w:w="851"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35,4</w:t>
            </w:r>
          </w:p>
        </w:tc>
        <w:tc>
          <w:tcPr>
            <w:tcW w:w="1448" w:type="dxa"/>
            <w:shd w:val="clear" w:color="auto" w:fill="BFBFBF" w:themeFill="background1" w:themeFillShade="BF"/>
          </w:tcPr>
          <w:p w:rsidR="00FF0FF5" w:rsidRPr="001D3810" w:rsidRDefault="00FF0FF5" w:rsidP="00376B24">
            <w:pPr>
              <w:widowControl w:val="0"/>
              <w:tabs>
                <w:tab w:val="left" w:pos="426"/>
              </w:tabs>
              <w:jc w:val="center"/>
              <w:rPr>
                <w:rFonts w:ascii="Calibri" w:eastAsia="Times New Roman" w:hAnsi="Calibri" w:cs="Calibri"/>
                <w:lang w:eastAsia="es-ES"/>
              </w:rPr>
            </w:pPr>
            <w:r w:rsidRPr="001D3810">
              <w:rPr>
                <w:rFonts w:ascii="Calibri" w:eastAsia="Times New Roman" w:hAnsi="Calibri" w:cs="Calibri"/>
                <w:lang w:eastAsia="es-ES"/>
              </w:rPr>
              <w:t>6,6</w:t>
            </w:r>
          </w:p>
        </w:tc>
      </w:tr>
    </w:tbl>
    <w:p w:rsidR="00694B76" w:rsidRPr="004D1331" w:rsidRDefault="00694B76" w:rsidP="00376B24">
      <w:pPr>
        <w:widowControl w:val="0"/>
        <w:tabs>
          <w:tab w:val="left" w:pos="4830"/>
        </w:tabs>
        <w:spacing w:after="120" w:line="240" w:lineRule="auto"/>
        <w:jc w:val="both"/>
        <w:rPr>
          <w:rFonts w:ascii="Calibri" w:eastAsia="Times New Roman" w:hAnsi="Calibri" w:cs="Calibri"/>
          <w:i/>
          <w:color w:val="4F6228" w:themeColor="accent3" w:themeShade="80"/>
          <w:sz w:val="18"/>
          <w:szCs w:val="20"/>
          <w:lang w:eastAsia="es-ES"/>
        </w:rPr>
      </w:pPr>
      <w:r w:rsidRPr="004D1331">
        <w:rPr>
          <w:rFonts w:ascii="Calibri" w:eastAsia="Times New Roman" w:hAnsi="Calibri" w:cs="Calibri"/>
          <w:i/>
          <w:color w:val="4F6228" w:themeColor="accent3" w:themeShade="80"/>
          <w:sz w:val="18"/>
          <w:szCs w:val="20"/>
          <w:lang w:eastAsia="es-ES"/>
        </w:rPr>
        <w:t xml:space="preserve">Fuente: </w:t>
      </w:r>
      <w:r w:rsidR="00311A3E" w:rsidRPr="004D1331">
        <w:rPr>
          <w:rFonts w:ascii="Calibri" w:eastAsia="Times New Roman" w:hAnsi="Calibri" w:cs="Calibri"/>
          <w:i/>
          <w:color w:val="4F6228" w:themeColor="accent3" w:themeShade="80"/>
          <w:sz w:val="18"/>
          <w:szCs w:val="20"/>
          <w:lang w:eastAsia="es-ES"/>
        </w:rPr>
        <w:t>Encuesta de Calidad de Vida (INE)</w:t>
      </w:r>
    </w:p>
    <w:p w:rsidR="00EE6190" w:rsidRPr="001D3810" w:rsidRDefault="00EE6190" w:rsidP="00FD16F2">
      <w:pPr>
        <w:widowControl w:val="0"/>
        <w:tabs>
          <w:tab w:val="left" w:pos="426"/>
        </w:tabs>
        <w:spacing w:after="0" w:line="240" w:lineRule="auto"/>
        <w:ind w:left="142"/>
        <w:jc w:val="both"/>
        <w:rPr>
          <w:rFonts w:ascii="Calibri" w:eastAsia="Times New Roman" w:hAnsi="Calibri" w:cs="Calibri"/>
          <w:lang w:eastAsia="es-ES"/>
        </w:rPr>
      </w:pPr>
    </w:p>
    <w:p w:rsidR="00376B24" w:rsidRPr="001D3810" w:rsidRDefault="00376B24" w:rsidP="00376B24">
      <w:pPr>
        <w:widowControl w:val="0"/>
        <w:tabs>
          <w:tab w:val="left" w:pos="4830"/>
        </w:tabs>
        <w:spacing w:after="0" w:line="240" w:lineRule="auto"/>
        <w:jc w:val="both"/>
        <w:rPr>
          <w:rFonts w:ascii="Calibri" w:eastAsia="Times New Roman" w:hAnsi="Calibri" w:cs="Calibri"/>
          <w:sz w:val="24"/>
          <w:szCs w:val="24"/>
          <w:lang w:eastAsia="es-ES"/>
        </w:rPr>
      </w:pPr>
      <w:r w:rsidRPr="001D3810">
        <w:rPr>
          <w:rFonts w:ascii="Calibri" w:eastAsia="Times New Roman" w:hAnsi="Calibri" w:cs="Calibri"/>
          <w:sz w:val="24"/>
          <w:szCs w:val="24"/>
          <w:lang w:eastAsia="es-ES"/>
        </w:rPr>
        <w:t>Algunas cifras son ilustrativas de este empobrecimiento de la mayoría social:</w:t>
      </w:r>
    </w:p>
    <w:p w:rsidR="00376B24" w:rsidRPr="001D3810" w:rsidRDefault="00376B24" w:rsidP="00376B24">
      <w:pPr>
        <w:widowControl w:val="0"/>
        <w:tabs>
          <w:tab w:val="left" w:pos="4830"/>
        </w:tabs>
        <w:spacing w:after="0" w:line="240" w:lineRule="auto"/>
        <w:jc w:val="both"/>
        <w:rPr>
          <w:rFonts w:ascii="Calibri" w:eastAsia="Times New Roman" w:hAnsi="Calibri" w:cs="Calibri"/>
          <w:sz w:val="24"/>
          <w:szCs w:val="24"/>
          <w:lang w:eastAsia="es-ES"/>
        </w:rPr>
      </w:pPr>
    </w:p>
    <w:p w:rsidR="00376B24" w:rsidRPr="001D3810" w:rsidRDefault="00376B24" w:rsidP="00376B24">
      <w:pPr>
        <w:widowControl w:val="0"/>
        <w:numPr>
          <w:ilvl w:val="0"/>
          <w:numId w:val="12"/>
        </w:numPr>
        <w:tabs>
          <w:tab w:val="left" w:pos="426"/>
        </w:tabs>
        <w:spacing w:after="0" w:line="240" w:lineRule="auto"/>
        <w:ind w:left="426" w:hanging="284"/>
        <w:jc w:val="both"/>
        <w:rPr>
          <w:rFonts w:ascii="Calibri" w:eastAsia="Times New Roman" w:hAnsi="Calibri" w:cs="Calibri"/>
          <w:sz w:val="24"/>
          <w:szCs w:val="24"/>
          <w:lang w:eastAsia="es-ES"/>
        </w:rPr>
      </w:pPr>
      <w:r w:rsidRPr="004D1331">
        <w:rPr>
          <w:rFonts w:ascii="Calibri" w:eastAsia="Times New Roman" w:hAnsi="Calibri" w:cs="Calibri"/>
          <w:b/>
          <w:color w:val="4F6228" w:themeColor="accent3" w:themeShade="80"/>
          <w:sz w:val="24"/>
          <w:szCs w:val="24"/>
          <w:lang w:eastAsia="es-ES"/>
        </w:rPr>
        <w:t xml:space="preserve">La renta media anual de los hogares </w:t>
      </w:r>
      <w:r w:rsidR="00C90B31" w:rsidRPr="004D1331">
        <w:rPr>
          <w:rFonts w:ascii="Calibri" w:eastAsia="Times New Roman" w:hAnsi="Calibri" w:cs="Calibri"/>
          <w:b/>
          <w:color w:val="4F6228" w:themeColor="accent3" w:themeShade="80"/>
          <w:sz w:val="24"/>
          <w:szCs w:val="24"/>
          <w:lang w:eastAsia="es-ES"/>
        </w:rPr>
        <w:t>andaluces</w:t>
      </w:r>
      <w:r w:rsidRPr="004D1331">
        <w:rPr>
          <w:rFonts w:ascii="Calibri" w:eastAsia="Times New Roman" w:hAnsi="Calibri" w:cs="Calibri"/>
          <w:b/>
          <w:color w:val="4F6228" w:themeColor="accent3" w:themeShade="80"/>
          <w:sz w:val="24"/>
          <w:szCs w:val="24"/>
          <w:lang w:eastAsia="es-ES"/>
        </w:rPr>
        <w:t xml:space="preserve"> es </w:t>
      </w:r>
      <w:r w:rsidR="00C90B31" w:rsidRPr="004D1331">
        <w:rPr>
          <w:rFonts w:ascii="Calibri" w:eastAsia="Times New Roman" w:hAnsi="Calibri" w:cs="Calibri"/>
          <w:b/>
          <w:color w:val="4F6228" w:themeColor="accent3" w:themeShade="80"/>
          <w:sz w:val="24"/>
          <w:szCs w:val="24"/>
          <w:lang w:eastAsia="es-ES"/>
        </w:rPr>
        <w:t>4</w:t>
      </w:r>
      <w:r w:rsidR="003C1313" w:rsidRPr="004D1331">
        <w:rPr>
          <w:rFonts w:ascii="Calibri" w:eastAsia="Times New Roman" w:hAnsi="Calibri" w:cs="Calibri"/>
          <w:b/>
          <w:color w:val="4F6228" w:themeColor="accent3" w:themeShade="80"/>
          <w:sz w:val="24"/>
          <w:szCs w:val="24"/>
          <w:lang w:eastAsia="es-ES"/>
        </w:rPr>
        <w:t>.</w:t>
      </w:r>
      <w:r w:rsidR="00C90B31" w:rsidRPr="004D1331">
        <w:rPr>
          <w:rFonts w:ascii="Calibri" w:eastAsia="Times New Roman" w:hAnsi="Calibri" w:cs="Calibri"/>
          <w:b/>
          <w:color w:val="4F6228" w:themeColor="accent3" w:themeShade="80"/>
          <w:sz w:val="24"/>
          <w:szCs w:val="24"/>
          <w:lang w:eastAsia="es-ES"/>
        </w:rPr>
        <w:t>16</w:t>
      </w:r>
      <w:r w:rsidRPr="004D1331">
        <w:rPr>
          <w:rFonts w:ascii="Calibri" w:eastAsia="Times New Roman" w:hAnsi="Calibri" w:cs="Calibri"/>
          <w:b/>
          <w:color w:val="4F6228" w:themeColor="accent3" w:themeShade="80"/>
          <w:sz w:val="24"/>
          <w:szCs w:val="24"/>
          <w:lang w:eastAsia="es-ES"/>
        </w:rPr>
        <w:t xml:space="preserve">0 euros inferior a la </w:t>
      </w:r>
      <w:r w:rsidR="00C90B31" w:rsidRPr="004D1331">
        <w:rPr>
          <w:rFonts w:ascii="Calibri" w:eastAsia="Times New Roman" w:hAnsi="Calibri" w:cs="Calibri"/>
          <w:b/>
          <w:color w:val="4F6228" w:themeColor="accent3" w:themeShade="80"/>
          <w:sz w:val="24"/>
          <w:szCs w:val="24"/>
          <w:lang w:eastAsia="es-ES"/>
        </w:rPr>
        <w:t>de</w:t>
      </w:r>
      <w:r w:rsidRPr="004D1331">
        <w:rPr>
          <w:rFonts w:ascii="Calibri" w:eastAsia="Times New Roman" w:hAnsi="Calibri" w:cs="Calibri"/>
          <w:b/>
          <w:color w:val="4F6228" w:themeColor="accent3" w:themeShade="80"/>
          <w:sz w:val="24"/>
          <w:szCs w:val="24"/>
          <w:lang w:eastAsia="es-ES"/>
        </w:rPr>
        <w:t xml:space="preserve"> 2009, un 1</w:t>
      </w:r>
      <w:r w:rsidR="00C90B31" w:rsidRPr="004D1331">
        <w:rPr>
          <w:rFonts w:ascii="Calibri" w:eastAsia="Times New Roman" w:hAnsi="Calibri" w:cs="Calibri"/>
          <w:b/>
          <w:color w:val="4F6228" w:themeColor="accent3" w:themeShade="80"/>
          <w:sz w:val="24"/>
          <w:szCs w:val="24"/>
          <w:lang w:eastAsia="es-ES"/>
        </w:rPr>
        <w:t>3,84</w:t>
      </w:r>
      <w:r w:rsidRPr="004D1331">
        <w:rPr>
          <w:rFonts w:ascii="Calibri" w:eastAsia="Times New Roman" w:hAnsi="Calibri" w:cs="Calibri"/>
          <w:b/>
          <w:color w:val="4F6228" w:themeColor="accent3" w:themeShade="80"/>
          <w:sz w:val="24"/>
          <w:szCs w:val="24"/>
          <w:lang w:eastAsia="es-ES"/>
        </w:rPr>
        <w:t>%.</w:t>
      </w:r>
      <w:r w:rsidRPr="001D3810">
        <w:rPr>
          <w:rFonts w:ascii="Calibri" w:eastAsia="Times New Roman" w:hAnsi="Calibri" w:cs="Calibri"/>
          <w:sz w:val="24"/>
          <w:szCs w:val="24"/>
          <w:lang w:eastAsia="es-ES"/>
        </w:rPr>
        <w:t xml:space="preserve"> La renta media por persona ha caído </w:t>
      </w:r>
      <w:r w:rsidR="003C1313" w:rsidRPr="001D3810">
        <w:rPr>
          <w:rFonts w:ascii="Calibri" w:eastAsia="Times New Roman" w:hAnsi="Calibri" w:cs="Calibri"/>
          <w:sz w:val="24"/>
          <w:szCs w:val="24"/>
          <w:lang w:eastAsia="es-ES"/>
        </w:rPr>
        <w:t>10</w:t>
      </w:r>
      <w:r w:rsidR="00C90B31" w:rsidRPr="001D3810">
        <w:rPr>
          <w:rFonts w:ascii="Calibri" w:eastAsia="Times New Roman" w:hAnsi="Calibri" w:cs="Calibri"/>
          <w:sz w:val="24"/>
          <w:szCs w:val="24"/>
          <w:lang w:eastAsia="es-ES"/>
        </w:rPr>
        <w:t>08</w:t>
      </w:r>
      <w:r w:rsidRPr="001D3810">
        <w:rPr>
          <w:rFonts w:ascii="Calibri" w:eastAsia="Times New Roman" w:hAnsi="Calibri" w:cs="Calibri"/>
          <w:sz w:val="24"/>
          <w:szCs w:val="24"/>
          <w:lang w:eastAsia="es-ES"/>
        </w:rPr>
        <w:t xml:space="preserve"> </w:t>
      </w:r>
      <w:r w:rsidR="00C90B31" w:rsidRPr="001D3810">
        <w:rPr>
          <w:rFonts w:ascii="Calibri" w:eastAsia="Times New Roman" w:hAnsi="Calibri" w:cs="Calibri"/>
          <w:sz w:val="24"/>
          <w:szCs w:val="24"/>
          <w:lang w:eastAsia="es-ES"/>
        </w:rPr>
        <w:t>€</w:t>
      </w:r>
      <w:r w:rsidRPr="001D3810">
        <w:rPr>
          <w:rFonts w:ascii="Calibri" w:eastAsia="Times New Roman" w:hAnsi="Calibri" w:cs="Calibri"/>
          <w:sz w:val="24"/>
          <w:szCs w:val="24"/>
          <w:lang w:eastAsia="es-ES"/>
        </w:rPr>
        <w:t xml:space="preserve"> al año, un </w:t>
      </w:r>
      <w:r w:rsidR="00C90B31" w:rsidRPr="001D3810">
        <w:rPr>
          <w:rFonts w:ascii="Calibri" w:eastAsia="Times New Roman" w:hAnsi="Calibri" w:cs="Calibri"/>
          <w:sz w:val="24"/>
          <w:szCs w:val="24"/>
          <w:lang w:eastAsia="es-ES"/>
        </w:rPr>
        <w:t>8</w:t>
      </w:r>
      <w:r w:rsidR="003C1313" w:rsidRPr="001D3810">
        <w:rPr>
          <w:rFonts w:ascii="Calibri" w:eastAsia="Times New Roman" w:hAnsi="Calibri" w:cs="Calibri"/>
          <w:sz w:val="24"/>
          <w:szCs w:val="24"/>
          <w:lang w:eastAsia="es-ES"/>
        </w:rPr>
        <w:t>,</w:t>
      </w:r>
      <w:r w:rsidR="00C90B31" w:rsidRPr="001D3810">
        <w:rPr>
          <w:rFonts w:ascii="Calibri" w:eastAsia="Times New Roman" w:hAnsi="Calibri" w:cs="Calibri"/>
          <w:sz w:val="24"/>
          <w:szCs w:val="24"/>
          <w:lang w:eastAsia="es-ES"/>
        </w:rPr>
        <w:t>91</w:t>
      </w:r>
      <w:r w:rsidRPr="001D3810">
        <w:rPr>
          <w:rFonts w:ascii="Calibri" w:eastAsia="Times New Roman" w:hAnsi="Calibri" w:cs="Calibri"/>
          <w:sz w:val="24"/>
          <w:szCs w:val="24"/>
          <w:lang w:eastAsia="es-ES"/>
        </w:rPr>
        <w:t>%.</w:t>
      </w:r>
    </w:p>
    <w:p w:rsidR="00376B24" w:rsidRPr="001D3810" w:rsidRDefault="00376B24" w:rsidP="00376B24">
      <w:pPr>
        <w:widowControl w:val="0"/>
        <w:tabs>
          <w:tab w:val="left" w:pos="426"/>
        </w:tabs>
        <w:spacing w:after="0" w:line="240" w:lineRule="auto"/>
        <w:ind w:left="142"/>
        <w:jc w:val="both"/>
        <w:rPr>
          <w:rFonts w:ascii="Calibri" w:eastAsia="Times New Roman" w:hAnsi="Calibri" w:cs="Calibri"/>
          <w:sz w:val="24"/>
          <w:szCs w:val="24"/>
          <w:lang w:eastAsia="es-ES"/>
        </w:rPr>
      </w:pPr>
    </w:p>
    <w:p w:rsidR="00376B24" w:rsidRPr="001D3810" w:rsidRDefault="00376B24" w:rsidP="0039480A">
      <w:pPr>
        <w:widowControl w:val="0"/>
        <w:numPr>
          <w:ilvl w:val="0"/>
          <w:numId w:val="12"/>
        </w:numPr>
        <w:tabs>
          <w:tab w:val="left" w:pos="426"/>
        </w:tabs>
        <w:spacing w:after="0" w:line="240" w:lineRule="auto"/>
        <w:ind w:left="426" w:hanging="284"/>
        <w:jc w:val="both"/>
        <w:rPr>
          <w:rFonts w:ascii="Calibri" w:eastAsia="Times New Roman" w:hAnsi="Calibri" w:cs="Calibri"/>
          <w:sz w:val="24"/>
          <w:szCs w:val="24"/>
          <w:lang w:eastAsia="es-ES"/>
        </w:rPr>
      </w:pPr>
      <w:r w:rsidRPr="004D1331">
        <w:rPr>
          <w:rFonts w:ascii="Calibri" w:eastAsia="Times New Roman" w:hAnsi="Calibri" w:cs="Calibri"/>
          <w:b/>
          <w:color w:val="4F6228" w:themeColor="accent3" w:themeShade="80"/>
          <w:sz w:val="24"/>
          <w:szCs w:val="24"/>
          <w:lang w:eastAsia="es-ES"/>
        </w:rPr>
        <w:t xml:space="preserve">La población en riesgo de pobreza </w:t>
      </w:r>
      <w:r w:rsidR="0039480A" w:rsidRPr="004D1331">
        <w:rPr>
          <w:rFonts w:ascii="Calibri" w:eastAsia="Times New Roman" w:hAnsi="Calibri" w:cs="Calibri"/>
          <w:b/>
          <w:color w:val="4F6228" w:themeColor="accent3" w:themeShade="80"/>
          <w:sz w:val="24"/>
          <w:szCs w:val="24"/>
          <w:lang w:eastAsia="es-ES"/>
        </w:rPr>
        <w:t xml:space="preserve">es del </w:t>
      </w:r>
      <w:r w:rsidR="00C90B31" w:rsidRPr="004D1331">
        <w:rPr>
          <w:rFonts w:ascii="Calibri" w:eastAsia="Times New Roman" w:hAnsi="Calibri" w:cs="Calibri"/>
          <w:b/>
          <w:color w:val="4F6228" w:themeColor="accent3" w:themeShade="80"/>
          <w:sz w:val="24"/>
          <w:szCs w:val="24"/>
          <w:lang w:eastAsia="es-ES"/>
        </w:rPr>
        <w:t>35</w:t>
      </w:r>
      <w:r w:rsidR="0039480A" w:rsidRPr="004D1331">
        <w:rPr>
          <w:rFonts w:ascii="Calibri" w:eastAsia="Times New Roman" w:hAnsi="Calibri" w:cs="Calibri"/>
          <w:b/>
          <w:color w:val="4F6228" w:themeColor="accent3" w:themeShade="80"/>
          <w:sz w:val="24"/>
          <w:szCs w:val="24"/>
          <w:lang w:eastAsia="es-ES"/>
        </w:rPr>
        <w:t>,</w:t>
      </w:r>
      <w:r w:rsidR="00C90B31" w:rsidRPr="004D1331">
        <w:rPr>
          <w:rFonts w:ascii="Calibri" w:eastAsia="Times New Roman" w:hAnsi="Calibri" w:cs="Calibri"/>
          <w:b/>
          <w:color w:val="4F6228" w:themeColor="accent3" w:themeShade="80"/>
          <w:sz w:val="24"/>
          <w:szCs w:val="24"/>
          <w:lang w:eastAsia="es-ES"/>
        </w:rPr>
        <w:t>4</w:t>
      </w:r>
      <w:r w:rsidR="0039480A" w:rsidRPr="004D1331">
        <w:rPr>
          <w:rFonts w:ascii="Calibri" w:eastAsia="Times New Roman" w:hAnsi="Calibri" w:cs="Calibri"/>
          <w:b/>
          <w:color w:val="4F6228" w:themeColor="accent3" w:themeShade="80"/>
          <w:sz w:val="24"/>
          <w:szCs w:val="24"/>
          <w:lang w:eastAsia="es-ES"/>
        </w:rPr>
        <w:t xml:space="preserve">% del total, lo que supone </w:t>
      </w:r>
      <w:r w:rsidR="00C90B31" w:rsidRPr="004D1331">
        <w:rPr>
          <w:rFonts w:ascii="Calibri" w:eastAsia="Times New Roman" w:hAnsi="Calibri" w:cs="Calibri"/>
          <w:b/>
          <w:color w:val="4F6228" w:themeColor="accent3" w:themeShade="80"/>
          <w:sz w:val="24"/>
          <w:szCs w:val="24"/>
          <w:lang w:eastAsia="es-ES"/>
        </w:rPr>
        <w:t>6</w:t>
      </w:r>
      <w:r w:rsidR="0039480A" w:rsidRPr="004D1331">
        <w:rPr>
          <w:rFonts w:ascii="Calibri" w:eastAsia="Times New Roman" w:hAnsi="Calibri" w:cs="Calibri"/>
          <w:b/>
          <w:color w:val="4F6228" w:themeColor="accent3" w:themeShade="80"/>
          <w:sz w:val="24"/>
          <w:szCs w:val="24"/>
          <w:lang w:eastAsia="es-ES"/>
        </w:rPr>
        <w:t>,</w:t>
      </w:r>
      <w:r w:rsidR="00C90B31" w:rsidRPr="004D1331">
        <w:rPr>
          <w:rFonts w:ascii="Calibri" w:eastAsia="Times New Roman" w:hAnsi="Calibri" w:cs="Calibri"/>
          <w:b/>
          <w:color w:val="4F6228" w:themeColor="accent3" w:themeShade="80"/>
          <w:sz w:val="24"/>
          <w:szCs w:val="24"/>
          <w:lang w:eastAsia="es-ES"/>
        </w:rPr>
        <w:t>6</w:t>
      </w:r>
      <w:r w:rsidR="0039480A" w:rsidRPr="004D1331">
        <w:rPr>
          <w:rFonts w:ascii="Calibri" w:eastAsia="Times New Roman" w:hAnsi="Calibri" w:cs="Calibri"/>
          <w:b/>
          <w:color w:val="4F6228" w:themeColor="accent3" w:themeShade="80"/>
          <w:sz w:val="24"/>
          <w:szCs w:val="24"/>
          <w:lang w:eastAsia="es-ES"/>
        </w:rPr>
        <w:t xml:space="preserve"> </w:t>
      </w:r>
      <w:r w:rsidR="00C90B31" w:rsidRPr="004D1331">
        <w:rPr>
          <w:rFonts w:ascii="Calibri" w:eastAsia="Times New Roman" w:hAnsi="Calibri" w:cs="Calibri"/>
          <w:b/>
          <w:color w:val="4F6228" w:themeColor="accent3" w:themeShade="80"/>
          <w:sz w:val="24"/>
          <w:szCs w:val="24"/>
          <w:lang w:eastAsia="es-ES"/>
        </w:rPr>
        <w:t>puntos porcentuales más que en 2009</w:t>
      </w:r>
      <w:r w:rsidR="0039480A" w:rsidRPr="004D1331">
        <w:rPr>
          <w:rFonts w:ascii="Calibri" w:eastAsia="Times New Roman" w:hAnsi="Calibri" w:cs="Calibri"/>
          <w:b/>
          <w:color w:val="4F6228" w:themeColor="accent3" w:themeShade="80"/>
          <w:sz w:val="24"/>
          <w:szCs w:val="24"/>
          <w:lang w:eastAsia="es-ES"/>
        </w:rPr>
        <w:t xml:space="preserve">. Sumando el riesgo de exclusión social afecta al </w:t>
      </w:r>
      <w:r w:rsidR="00C90B31" w:rsidRPr="004D1331">
        <w:rPr>
          <w:rFonts w:ascii="Calibri" w:eastAsia="Times New Roman" w:hAnsi="Calibri" w:cs="Calibri"/>
          <w:b/>
          <w:color w:val="4F6228" w:themeColor="accent3" w:themeShade="80"/>
          <w:sz w:val="24"/>
          <w:szCs w:val="24"/>
          <w:lang w:eastAsia="es-ES"/>
        </w:rPr>
        <w:t>41</w:t>
      </w:r>
      <w:r w:rsidR="003C1313" w:rsidRPr="004D1331">
        <w:rPr>
          <w:rFonts w:ascii="Calibri" w:eastAsia="Times New Roman" w:hAnsi="Calibri" w:cs="Calibri"/>
          <w:b/>
          <w:color w:val="4F6228" w:themeColor="accent3" w:themeShade="80"/>
          <w:sz w:val="24"/>
          <w:szCs w:val="24"/>
          <w:lang w:eastAsia="es-ES"/>
        </w:rPr>
        <w:t>,</w:t>
      </w:r>
      <w:r w:rsidR="00C90B31" w:rsidRPr="004D1331">
        <w:rPr>
          <w:rFonts w:ascii="Calibri" w:eastAsia="Times New Roman" w:hAnsi="Calibri" w:cs="Calibri"/>
          <w:b/>
          <w:color w:val="4F6228" w:themeColor="accent3" w:themeShade="80"/>
          <w:sz w:val="24"/>
          <w:szCs w:val="24"/>
          <w:lang w:eastAsia="es-ES"/>
        </w:rPr>
        <w:t>7</w:t>
      </w:r>
      <w:r w:rsidRPr="004D1331">
        <w:rPr>
          <w:rFonts w:ascii="Calibri" w:eastAsia="Times New Roman" w:hAnsi="Calibri" w:cs="Calibri"/>
          <w:b/>
          <w:color w:val="4F6228" w:themeColor="accent3" w:themeShade="80"/>
          <w:sz w:val="24"/>
          <w:szCs w:val="24"/>
          <w:lang w:eastAsia="es-ES"/>
        </w:rPr>
        <w:t>%,</w:t>
      </w:r>
      <w:r w:rsidR="00C90B31" w:rsidRPr="001D3810">
        <w:rPr>
          <w:rFonts w:ascii="Calibri" w:eastAsia="Times New Roman" w:hAnsi="Calibri" w:cs="Calibri"/>
          <w:b/>
          <w:sz w:val="24"/>
          <w:szCs w:val="24"/>
          <w:lang w:eastAsia="es-ES"/>
        </w:rPr>
        <w:t xml:space="preserve"> </w:t>
      </w:r>
      <w:r w:rsidR="00C90B31" w:rsidRPr="001D3810">
        <w:rPr>
          <w:rFonts w:ascii="Calibri" w:eastAsia="Times New Roman" w:hAnsi="Calibri" w:cs="Calibri"/>
          <w:sz w:val="24"/>
          <w:szCs w:val="24"/>
          <w:lang w:eastAsia="es-ES"/>
        </w:rPr>
        <w:t>8</w:t>
      </w:r>
      <w:r w:rsidR="003C1313" w:rsidRPr="001D3810">
        <w:rPr>
          <w:rFonts w:ascii="Calibri" w:eastAsia="Times New Roman" w:hAnsi="Calibri" w:cs="Calibri"/>
          <w:sz w:val="24"/>
          <w:szCs w:val="24"/>
          <w:lang w:eastAsia="es-ES"/>
        </w:rPr>
        <w:t>,</w:t>
      </w:r>
      <w:r w:rsidR="00C90B31" w:rsidRPr="001D3810">
        <w:rPr>
          <w:rFonts w:ascii="Calibri" w:eastAsia="Times New Roman" w:hAnsi="Calibri" w:cs="Calibri"/>
          <w:sz w:val="24"/>
          <w:szCs w:val="24"/>
          <w:lang w:eastAsia="es-ES"/>
        </w:rPr>
        <w:t>4</w:t>
      </w:r>
      <w:r w:rsidRPr="001D3810">
        <w:rPr>
          <w:rFonts w:ascii="Calibri" w:eastAsia="Times New Roman" w:hAnsi="Calibri" w:cs="Calibri"/>
          <w:sz w:val="24"/>
          <w:szCs w:val="24"/>
          <w:lang w:eastAsia="es-ES"/>
        </w:rPr>
        <w:t xml:space="preserve"> puntos más que en 2009.</w:t>
      </w:r>
    </w:p>
    <w:p w:rsidR="0039480A" w:rsidRPr="001D3810" w:rsidRDefault="0039480A" w:rsidP="0039480A">
      <w:pPr>
        <w:pStyle w:val="Prrafodelista"/>
        <w:spacing w:after="0"/>
        <w:contextualSpacing w:val="0"/>
        <w:rPr>
          <w:rFonts w:ascii="Calibri" w:eastAsia="Times New Roman" w:hAnsi="Calibri" w:cs="Calibri"/>
          <w:sz w:val="24"/>
          <w:szCs w:val="24"/>
          <w:lang w:eastAsia="es-ES"/>
        </w:rPr>
      </w:pPr>
    </w:p>
    <w:p w:rsidR="0039480A" w:rsidRPr="004D1331" w:rsidRDefault="0039480A" w:rsidP="00376B24">
      <w:pPr>
        <w:widowControl w:val="0"/>
        <w:numPr>
          <w:ilvl w:val="0"/>
          <w:numId w:val="12"/>
        </w:numPr>
        <w:tabs>
          <w:tab w:val="left" w:pos="426"/>
        </w:tabs>
        <w:spacing w:after="0" w:line="240" w:lineRule="auto"/>
        <w:ind w:left="426" w:hanging="284"/>
        <w:jc w:val="both"/>
        <w:rPr>
          <w:rFonts w:ascii="Calibri" w:eastAsia="Times New Roman" w:hAnsi="Calibri" w:cs="Calibri"/>
          <w:color w:val="4F6228" w:themeColor="accent3" w:themeShade="80"/>
          <w:sz w:val="24"/>
          <w:szCs w:val="24"/>
          <w:lang w:eastAsia="es-ES"/>
        </w:rPr>
      </w:pPr>
      <w:r w:rsidRPr="001D3810">
        <w:rPr>
          <w:rFonts w:ascii="Calibri" w:eastAsia="Times New Roman" w:hAnsi="Calibri" w:cs="Calibri"/>
          <w:sz w:val="24"/>
          <w:szCs w:val="24"/>
          <w:lang w:eastAsia="es-ES"/>
        </w:rPr>
        <w:t xml:space="preserve">En el caso de los </w:t>
      </w:r>
      <w:r w:rsidRPr="004D1331">
        <w:rPr>
          <w:rFonts w:ascii="Calibri" w:eastAsia="Times New Roman" w:hAnsi="Calibri" w:cs="Calibri"/>
          <w:b/>
          <w:color w:val="4F6228" w:themeColor="accent3" w:themeShade="80"/>
          <w:sz w:val="24"/>
          <w:szCs w:val="24"/>
          <w:lang w:eastAsia="es-ES"/>
        </w:rPr>
        <w:t>menores de 16 años, la tasa de pobreza</w:t>
      </w:r>
      <w:r w:rsidR="00C90B31" w:rsidRPr="004D1331">
        <w:rPr>
          <w:rFonts w:ascii="Calibri" w:eastAsia="Times New Roman" w:hAnsi="Calibri" w:cs="Calibri"/>
          <w:b/>
          <w:color w:val="4F6228" w:themeColor="accent3" w:themeShade="80"/>
          <w:sz w:val="24"/>
          <w:szCs w:val="24"/>
          <w:lang w:eastAsia="es-ES"/>
        </w:rPr>
        <w:t xml:space="preserve"> estatal</w:t>
      </w:r>
      <w:r w:rsidRPr="004D1331">
        <w:rPr>
          <w:rFonts w:ascii="Calibri" w:eastAsia="Times New Roman" w:hAnsi="Calibri" w:cs="Calibri"/>
          <w:b/>
          <w:color w:val="4F6228" w:themeColor="accent3" w:themeShade="80"/>
          <w:sz w:val="24"/>
          <w:szCs w:val="24"/>
          <w:lang w:eastAsia="es-ES"/>
        </w:rPr>
        <w:t xml:space="preserve"> alcanza el 28,9%.</w:t>
      </w:r>
    </w:p>
    <w:p w:rsidR="00376B24" w:rsidRPr="001D3810" w:rsidRDefault="00376B24" w:rsidP="00376B24">
      <w:pPr>
        <w:widowControl w:val="0"/>
        <w:tabs>
          <w:tab w:val="left" w:pos="426"/>
        </w:tabs>
        <w:spacing w:after="0" w:line="240" w:lineRule="auto"/>
        <w:ind w:left="142"/>
        <w:jc w:val="both"/>
        <w:rPr>
          <w:rFonts w:ascii="Calibri" w:eastAsia="Times New Roman" w:hAnsi="Calibri" w:cs="Calibri"/>
          <w:sz w:val="24"/>
          <w:szCs w:val="24"/>
          <w:lang w:eastAsia="es-ES"/>
        </w:rPr>
      </w:pPr>
    </w:p>
    <w:p w:rsidR="003B7CA1" w:rsidRPr="001D3810" w:rsidRDefault="00611A9E" w:rsidP="003B7CA1">
      <w:pPr>
        <w:widowControl w:val="0"/>
        <w:numPr>
          <w:ilvl w:val="0"/>
          <w:numId w:val="12"/>
        </w:numPr>
        <w:tabs>
          <w:tab w:val="left" w:pos="426"/>
        </w:tabs>
        <w:spacing w:after="0" w:line="240" w:lineRule="auto"/>
        <w:ind w:left="426" w:hanging="284"/>
        <w:jc w:val="both"/>
        <w:rPr>
          <w:rFonts w:ascii="Calibri" w:eastAsia="Times New Roman" w:hAnsi="Calibri" w:cs="Calibri"/>
          <w:b/>
          <w:sz w:val="24"/>
          <w:szCs w:val="24"/>
          <w:lang w:eastAsia="es-ES"/>
        </w:rPr>
      </w:pPr>
      <w:r w:rsidRPr="004D1331">
        <w:rPr>
          <w:rFonts w:ascii="Calibri" w:eastAsia="Times New Roman" w:hAnsi="Calibri" w:cs="Calibri"/>
          <w:b/>
          <w:color w:val="4F6228" w:themeColor="accent3" w:themeShade="80"/>
          <w:sz w:val="24"/>
          <w:szCs w:val="24"/>
          <w:lang w:eastAsia="es-ES"/>
        </w:rPr>
        <w:t>El 14,1% de los ocupados</w:t>
      </w:r>
      <w:r w:rsidR="00CF3B52" w:rsidRPr="004D1331">
        <w:rPr>
          <w:rFonts w:ascii="Calibri" w:eastAsia="Times New Roman" w:hAnsi="Calibri" w:cs="Calibri"/>
          <w:b/>
          <w:color w:val="4F6228" w:themeColor="accent3" w:themeShade="80"/>
          <w:sz w:val="24"/>
          <w:szCs w:val="24"/>
          <w:lang w:eastAsia="es-ES"/>
        </w:rPr>
        <w:t>, a nivel estatal,</w:t>
      </w:r>
      <w:r w:rsidRPr="004D1331">
        <w:rPr>
          <w:rFonts w:ascii="Calibri" w:eastAsia="Times New Roman" w:hAnsi="Calibri" w:cs="Calibri"/>
          <w:b/>
          <w:color w:val="4F6228" w:themeColor="accent3" w:themeShade="80"/>
          <w:sz w:val="24"/>
          <w:szCs w:val="24"/>
          <w:lang w:eastAsia="es-ES"/>
        </w:rPr>
        <w:t xml:space="preserve"> está en riesgo de pobreza, </w:t>
      </w:r>
      <w:r w:rsidRPr="004D1331">
        <w:rPr>
          <w:rFonts w:ascii="Calibri" w:eastAsia="Times New Roman" w:hAnsi="Calibri" w:cs="Calibri"/>
          <w:color w:val="4F6228" w:themeColor="accent3" w:themeShade="80"/>
          <w:sz w:val="24"/>
          <w:szCs w:val="24"/>
          <w:lang w:eastAsia="es-ES"/>
        </w:rPr>
        <w:t xml:space="preserve">y </w:t>
      </w:r>
      <w:r w:rsidRPr="004D1331">
        <w:rPr>
          <w:rFonts w:ascii="Calibri" w:eastAsia="Times New Roman" w:hAnsi="Calibri" w:cs="Calibri"/>
          <w:b/>
          <w:color w:val="4F6228" w:themeColor="accent3" w:themeShade="80"/>
          <w:sz w:val="24"/>
          <w:szCs w:val="24"/>
          <w:lang w:eastAsia="es-ES"/>
        </w:rPr>
        <w:t>resulta especialmente llamativo cómo aumenta de manera muy notoria en 2013</w:t>
      </w:r>
      <w:r w:rsidRPr="001D3810">
        <w:rPr>
          <w:rFonts w:ascii="Calibri" w:eastAsia="Times New Roman" w:hAnsi="Calibri" w:cs="Calibri"/>
          <w:b/>
          <w:sz w:val="24"/>
          <w:szCs w:val="24"/>
          <w:lang w:eastAsia="es-ES"/>
        </w:rPr>
        <w:t xml:space="preserve"> </w:t>
      </w:r>
      <w:r w:rsidRPr="001D3810">
        <w:rPr>
          <w:rFonts w:ascii="Calibri" w:eastAsia="Times New Roman" w:hAnsi="Calibri" w:cs="Calibri"/>
          <w:sz w:val="24"/>
          <w:szCs w:val="24"/>
          <w:lang w:eastAsia="es-ES"/>
        </w:rPr>
        <w:t xml:space="preserve">(en realidad 2012, porque la encuesta tiene en cuenta los ingresos del año anterior al de su realización), es decir, </w:t>
      </w:r>
      <w:r w:rsidRPr="004D1331">
        <w:rPr>
          <w:rFonts w:ascii="Calibri" w:eastAsia="Times New Roman" w:hAnsi="Calibri" w:cs="Calibri"/>
          <w:b/>
          <w:color w:val="4F6228" w:themeColor="accent3" w:themeShade="80"/>
          <w:sz w:val="24"/>
          <w:szCs w:val="24"/>
          <w:lang w:eastAsia="es-ES"/>
        </w:rPr>
        <w:t>después de la introducción de la reforma laboral de febrero de 2012</w:t>
      </w:r>
      <w:r w:rsidRPr="004D1331">
        <w:rPr>
          <w:rFonts w:ascii="Calibri" w:eastAsia="Times New Roman" w:hAnsi="Calibri" w:cs="Calibri"/>
          <w:color w:val="4F6228" w:themeColor="accent3" w:themeShade="80"/>
          <w:sz w:val="24"/>
          <w:szCs w:val="24"/>
          <w:lang w:eastAsia="es-ES"/>
        </w:rPr>
        <w:t>.</w:t>
      </w:r>
      <w:r w:rsidRPr="001D3810">
        <w:rPr>
          <w:rFonts w:ascii="Calibri" w:eastAsia="Times New Roman" w:hAnsi="Calibri" w:cs="Calibri"/>
          <w:sz w:val="24"/>
          <w:szCs w:val="24"/>
          <w:lang w:eastAsia="es-ES"/>
        </w:rPr>
        <w:t xml:space="preserve"> </w:t>
      </w:r>
      <w:r w:rsidR="003B7CA1" w:rsidRPr="001D3810">
        <w:rPr>
          <w:rFonts w:ascii="Calibri" w:eastAsia="Times New Roman" w:hAnsi="Calibri" w:cs="Calibri"/>
          <w:sz w:val="24"/>
          <w:szCs w:val="24"/>
          <w:lang w:eastAsia="es-ES"/>
        </w:rPr>
        <w:t xml:space="preserve">En 2016 (último año disponible) es 2,4 puntos superior a la existente antes de la aplicación de la reforma laboral del Gobierno del PP. </w:t>
      </w:r>
      <w:r w:rsidR="003B7CA1" w:rsidRPr="004D1331">
        <w:rPr>
          <w:rFonts w:ascii="Calibri" w:eastAsia="Times New Roman" w:hAnsi="Calibri" w:cs="Calibri"/>
          <w:b/>
          <w:color w:val="4F6228" w:themeColor="accent3" w:themeShade="80"/>
          <w:sz w:val="24"/>
          <w:szCs w:val="24"/>
          <w:lang w:eastAsia="es-ES"/>
        </w:rPr>
        <w:t xml:space="preserve">España </w:t>
      </w:r>
      <w:r w:rsidR="004C1949" w:rsidRPr="004D1331">
        <w:rPr>
          <w:rFonts w:ascii="Calibri" w:eastAsia="Times New Roman" w:hAnsi="Calibri" w:cs="Calibri"/>
          <w:b/>
          <w:color w:val="4F6228" w:themeColor="accent3" w:themeShade="80"/>
          <w:sz w:val="24"/>
          <w:szCs w:val="24"/>
          <w:lang w:eastAsia="es-ES"/>
        </w:rPr>
        <w:t xml:space="preserve">es el tercer país </w:t>
      </w:r>
      <w:r w:rsidR="003B7CA1" w:rsidRPr="004D1331">
        <w:rPr>
          <w:rFonts w:ascii="Calibri" w:eastAsia="Times New Roman" w:hAnsi="Calibri" w:cs="Calibri"/>
          <w:b/>
          <w:color w:val="4F6228" w:themeColor="accent3" w:themeShade="80"/>
          <w:sz w:val="24"/>
          <w:szCs w:val="24"/>
          <w:lang w:eastAsia="es-ES"/>
        </w:rPr>
        <w:t xml:space="preserve">de la Unión Europea </w:t>
      </w:r>
      <w:r w:rsidR="004C1949" w:rsidRPr="004D1331">
        <w:rPr>
          <w:rFonts w:ascii="Calibri" w:eastAsia="Times New Roman" w:hAnsi="Calibri" w:cs="Calibri"/>
          <w:b/>
          <w:color w:val="4F6228" w:themeColor="accent3" w:themeShade="80"/>
          <w:sz w:val="24"/>
          <w:szCs w:val="24"/>
          <w:lang w:eastAsia="es-ES"/>
        </w:rPr>
        <w:t>con mayor porcentaje de trabajadores pobres,</w:t>
      </w:r>
      <w:r w:rsidR="004C1949" w:rsidRPr="001D3810">
        <w:rPr>
          <w:rFonts w:ascii="Calibri" w:eastAsia="Times New Roman" w:hAnsi="Calibri" w:cs="Calibri"/>
          <w:b/>
          <w:sz w:val="24"/>
          <w:szCs w:val="24"/>
          <w:lang w:eastAsia="es-ES"/>
        </w:rPr>
        <w:t xml:space="preserve"> </w:t>
      </w:r>
      <w:r w:rsidR="004C1949" w:rsidRPr="001D3810">
        <w:rPr>
          <w:rFonts w:ascii="Calibri" w:eastAsia="Times New Roman" w:hAnsi="Calibri" w:cs="Calibri"/>
          <w:sz w:val="24"/>
          <w:szCs w:val="24"/>
          <w:lang w:eastAsia="es-ES"/>
        </w:rPr>
        <w:t>solo por detrás de Rumanía y Grecia.</w:t>
      </w:r>
    </w:p>
    <w:p w:rsidR="003B7CA1" w:rsidRPr="001D3810" w:rsidRDefault="003B7CA1" w:rsidP="004C1949">
      <w:pPr>
        <w:pStyle w:val="Prrafodelista"/>
        <w:spacing w:after="0" w:line="240" w:lineRule="auto"/>
        <w:contextualSpacing w:val="0"/>
        <w:rPr>
          <w:rFonts w:ascii="Calibri" w:eastAsia="Times New Roman" w:hAnsi="Calibri" w:cs="Calibri"/>
          <w:sz w:val="24"/>
          <w:szCs w:val="24"/>
          <w:lang w:eastAsia="es-ES"/>
        </w:rPr>
      </w:pPr>
    </w:p>
    <w:p w:rsidR="00EE1054" w:rsidRPr="001D3810" w:rsidRDefault="00EE1054" w:rsidP="004C1949">
      <w:pPr>
        <w:pStyle w:val="Prrafodelista"/>
        <w:spacing w:after="0" w:line="240" w:lineRule="auto"/>
        <w:contextualSpacing w:val="0"/>
        <w:rPr>
          <w:rFonts w:ascii="Calibri" w:eastAsia="Times New Roman" w:hAnsi="Calibri" w:cs="Calibri"/>
          <w:sz w:val="24"/>
          <w:szCs w:val="24"/>
          <w:lang w:eastAsia="es-ES"/>
        </w:rPr>
      </w:pPr>
    </w:p>
    <w:p w:rsidR="00376B24" w:rsidRPr="001D3810" w:rsidRDefault="004C1949" w:rsidP="003B7CA1">
      <w:pPr>
        <w:widowControl w:val="0"/>
        <w:numPr>
          <w:ilvl w:val="0"/>
          <w:numId w:val="12"/>
        </w:numPr>
        <w:tabs>
          <w:tab w:val="left" w:pos="426"/>
        </w:tabs>
        <w:spacing w:after="0" w:line="240" w:lineRule="auto"/>
        <w:ind w:left="426" w:hanging="284"/>
        <w:jc w:val="both"/>
        <w:rPr>
          <w:rFonts w:ascii="Calibri" w:eastAsia="Times New Roman" w:hAnsi="Calibri" w:cs="Calibri"/>
          <w:sz w:val="24"/>
          <w:szCs w:val="24"/>
          <w:lang w:eastAsia="es-ES"/>
        </w:rPr>
      </w:pPr>
      <w:r w:rsidRPr="001D3810">
        <w:rPr>
          <w:rFonts w:ascii="Calibri" w:eastAsia="Times New Roman" w:hAnsi="Calibri" w:cs="Calibri"/>
          <w:sz w:val="24"/>
          <w:szCs w:val="24"/>
          <w:lang w:eastAsia="es-ES"/>
        </w:rPr>
        <w:t>Si al riesgo de pobreza se añade el de exclusión social, se ven afectados el 16,8% de la población trabajadora, dos puntos más que en 2012 (renta de 2011).</w:t>
      </w:r>
    </w:p>
    <w:p w:rsidR="00376B24" w:rsidRPr="001D3810" w:rsidRDefault="00376B24" w:rsidP="00376B24">
      <w:pPr>
        <w:widowControl w:val="0"/>
        <w:tabs>
          <w:tab w:val="left" w:pos="426"/>
        </w:tabs>
        <w:spacing w:after="0" w:line="240" w:lineRule="auto"/>
        <w:ind w:left="142"/>
        <w:jc w:val="both"/>
        <w:rPr>
          <w:rFonts w:ascii="Calibri" w:eastAsia="Times New Roman" w:hAnsi="Calibri" w:cs="Calibri"/>
          <w:sz w:val="24"/>
          <w:szCs w:val="24"/>
          <w:lang w:eastAsia="es-ES"/>
        </w:rPr>
      </w:pPr>
    </w:p>
    <w:p w:rsidR="00376B24" w:rsidRPr="004D1331" w:rsidRDefault="00376B24" w:rsidP="00376B24">
      <w:pPr>
        <w:widowControl w:val="0"/>
        <w:numPr>
          <w:ilvl w:val="0"/>
          <w:numId w:val="12"/>
        </w:numPr>
        <w:tabs>
          <w:tab w:val="left" w:pos="426"/>
        </w:tabs>
        <w:spacing w:after="0" w:line="240" w:lineRule="auto"/>
        <w:ind w:left="426" w:hanging="284"/>
        <w:jc w:val="both"/>
        <w:rPr>
          <w:rFonts w:ascii="Calibri" w:eastAsia="Times New Roman" w:hAnsi="Calibri" w:cs="Calibri"/>
          <w:color w:val="4F6228" w:themeColor="accent3" w:themeShade="80"/>
          <w:sz w:val="24"/>
          <w:szCs w:val="24"/>
          <w:lang w:eastAsia="es-ES"/>
        </w:rPr>
      </w:pPr>
      <w:r w:rsidRPr="004D1331">
        <w:rPr>
          <w:rFonts w:ascii="Calibri" w:eastAsia="Times New Roman" w:hAnsi="Calibri" w:cs="Calibri"/>
          <w:b/>
          <w:color w:val="4F6228" w:themeColor="accent3" w:themeShade="80"/>
          <w:sz w:val="24"/>
          <w:szCs w:val="24"/>
          <w:lang w:eastAsia="es-ES"/>
        </w:rPr>
        <w:t>En el caso de los trabaja</w:t>
      </w:r>
      <w:r w:rsidR="00EE1054" w:rsidRPr="004D1331">
        <w:rPr>
          <w:rFonts w:ascii="Calibri" w:eastAsia="Times New Roman" w:hAnsi="Calibri" w:cs="Calibri"/>
          <w:b/>
          <w:color w:val="4F6228" w:themeColor="accent3" w:themeShade="80"/>
          <w:sz w:val="24"/>
          <w:szCs w:val="24"/>
          <w:lang w:eastAsia="es-ES"/>
        </w:rPr>
        <w:t xml:space="preserve">dores en situación de desempleo, en el conjunto del Estado, </w:t>
      </w:r>
      <w:r w:rsidRPr="004D1331">
        <w:rPr>
          <w:rFonts w:ascii="Calibri" w:eastAsia="Times New Roman" w:hAnsi="Calibri" w:cs="Calibri"/>
          <w:b/>
          <w:color w:val="4F6228" w:themeColor="accent3" w:themeShade="80"/>
          <w:sz w:val="24"/>
          <w:szCs w:val="24"/>
          <w:lang w:eastAsia="es-ES"/>
        </w:rPr>
        <w:t xml:space="preserve">el incremento ha sido muy intenso: el </w:t>
      </w:r>
      <w:r w:rsidR="003C1313" w:rsidRPr="004D1331">
        <w:rPr>
          <w:rFonts w:ascii="Calibri" w:eastAsia="Times New Roman" w:hAnsi="Calibri" w:cs="Calibri"/>
          <w:b/>
          <w:color w:val="4F6228" w:themeColor="accent3" w:themeShade="80"/>
          <w:sz w:val="24"/>
          <w:szCs w:val="24"/>
          <w:lang w:eastAsia="es-ES"/>
        </w:rPr>
        <w:t>48,5</w:t>
      </w:r>
      <w:r w:rsidRPr="004D1331">
        <w:rPr>
          <w:rFonts w:ascii="Calibri" w:eastAsia="Times New Roman" w:hAnsi="Calibri" w:cs="Calibri"/>
          <w:b/>
          <w:color w:val="4F6228" w:themeColor="accent3" w:themeShade="80"/>
          <w:sz w:val="24"/>
          <w:szCs w:val="24"/>
          <w:lang w:eastAsia="es-ES"/>
        </w:rPr>
        <w:t>% está en riego de pobreza</w:t>
      </w:r>
      <w:r w:rsidR="003B7CA1" w:rsidRPr="004D1331">
        <w:rPr>
          <w:rFonts w:ascii="Calibri" w:eastAsia="Times New Roman" w:hAnsi="Calibri" w:cs="Calibri"/>
          <w:b/>
          <w:color w:val="4F6228" w:themeColor="accent3" w:themeShade="80"/>
          <w:sz w:val="24"/>
          <w:szCs w:val="24"/>
          <w:lang w:eastAsia="es-ES"/>
        </w:rPr>
        <w:t>,</w:t>
      </w:r>
      <w:r w:rsidRPr="004D1331">
        <w:rPr>
          <w:rFonts w:ascii="Calibri" w:eastAsia="Times New Roman" w:hAnsi="Calibri" w:cs="Calibri"/>
          <w:b/>
          <w:color w:val="4F6228" w:themeColor="accent3" w:themeShade="80"/>
          <w:sz w:val="24"/>
          <w:szCs w:val="24"/>
          <w:lang w:eastAsia="es-ES"/>
        </w:rPr>
        <w:t xml:space="preserve"> y llega al 6</w:t>
      </w:r>
      <w:r w:rsidR="003C1313" w:rsidRPr="004D1331">
        <w:rPr>
          <w:rFonts w:ascii="Calibri" w:eastAsia="Times New Roman" w:hAnsi="Calibri" w:cs="Calibri"/>
          <w:b/>
          <w:color w:val="4F6228" w:themeColor="accent3" w:themeShade="80"/>
          <w:sz w:val="24"/>
          <w:szCs w:val="24"/>
          <w:lang w:eastAsia="es-ES"/>
        </w:rPr>
        <w:t>2,7</w:t>
      </w:r>
      <w:r w:rsidRPr="004D1331">
        <w:rPr>
          <w:rFonts w:ascii="Calibri" w:eastAsia="Times New Roman" w:hAnsi="Calibri" w:cs="Calibri"/>
          <w:b/>
          <w:color w:val="4F6228" w:themeColor="accent3" w:themeShade="80"/>
          <w:sz w:val="24"/>
          <w:szCs w:val="24"/>
          <w:lang w:eastAsia="es-ES"/>
        </w:rPr>
        <w:t xml:space="preserve">% si se añade el riesgo de exclusión social. Son </w:t>
      </w:r>
      <w:r w:rsidR="003C1313" w:rsidRPr="004D1331">
        <w:rPr>
          <w:rFonts w:ascii="Calibri" w:eastAsia="Times New Roman" w:hAnsi="Calibri" w:cs="Calibri"/>
          <w:b/>
          <w:color w:val="4F6228" w:themeColor="accent3" w:themeShade="80"/>
          <w:sz w:val="24"/>
          <w:szCs w:val="24"/>
          <w:lang w:eastAsia="es-ES"/>
        </w:rPr>
        <w:t>17,2</w:t>
      </w:r>
      <w:r w:rsidRPr="004D1331">
        <w:rPr>
          <w:rFonts w:ascii="Calibri" w:eastAsia="Times New Roman" w:hAnsi="Calibri" w:cs="Calibri"/>
          <w:b/>
          <w:color w:val="4F6228" w:themeColor="accent3" w:themeShade="80"/>
          <w:sz w:val="24"/>
          <w:szCs w:val="24"/>
          <w:lang w:eastAsia="es-ES"/>
        </w:rPr>
        <w:t xml:space="preserve"> y 2</w:t>
      </w:r>
      <w:r w:rsidR="003C1313" w:rsidRPr="004D1331">
        <w:rPr>
          <w:rFonts w:ascii="Calibri" w:eastAsia="Times New Roman" w:hAnsi="Calibri" w:cs="Calibri"/>
          <w:b/>
          <w:color w:val="4F6228" w:themeColor="accent3" w:themeShade="80"/>
          <w:sz w:val="24"/>
          <w:szCs w:val="24"/>
          <w:lang w:eastAsia="es-ES"/>
        </w:rPr>
        <w:t>1,8</w:t>
      </w:r>
      <w:r w:rsidRPr="004D1331">
        <w:rPr>
          <w:rFonts w:ascii="Calibri" w:eastAsia="Times New Roman" w:hAnsi="Calibri" w:cs="Calibri"/>
          <w:b/>
          <w:color w:val="4F6228" w:themeColor="accent3" w:themeShade="80"/>
          <w:sz w:val="24"/>
          <w:szCs w:val="24"/>
          <w:lang w:eastAsia="es-ES"/>
        </w:rPr>
        <w:t xml:space="preserve"> puntos porcentuales más que en 2009.</w:t>
      </w:r>
    </w:p>
    <w:p w:rsidR="00376B24" w:rsidRPr="004D1331" w:rsidRDefault="00376B24" w:rsidP="00376B24">
      <w:pPr>
        <w:widowControl w:val="0"/>
        <w:tabs>
          <w:tab w:val="left" w:pos="426"/>
        </w:tabs>
        <w:spacing w:after="0" w:line="240" w:lineRule="auto"/>
        <w:ind w:left="142"/>
        <w:jc w:val="both"/>
        <w:rPr>
          <w:rFonts w:ascii="Calibri" w:eastAsia="Times New Roman" w:hAnsi="Calibri" w:cs="Calibri"/>
          <w:color w:val="4F6228" w:themeColor="accent3" w:themeShade="80"/>
          <w:sz w:val="24"/>
          <w:szCs w:val="24"/>
          <w:lang w:eastAsia="es-ES"/>
        </w:rPr>
      </w:pPr>
    </w:p>
    <w:p w:rsidR="00EE1054" w:rsidRPr="004D1331" w:rsidRDefault="00EE1054" w:rsidP="00376B24">
      <w:pPr>
        <w:widowControl w:val="0"/>
        <w:tabs>
          <w:tab w:val="left" w:pos="426"/>
        </w:tabs>
        <w:spacing w:after="0" w:line="240" w:lineRule="auto"/>
        <w:ind w:left="142"/>
        <w:jc w:val="both"/>
        <w:rPr>
          <w:rFonts w:ascii="Calibri" w:eastAsia="Times New Roman" w:hAnsi="Calibri" w:cs="Calibri"/>
          <w:color w:val="4F6228" w:themeColor="accent3" w:themeShade="80"/>
          <w:sz w:val="24"/>
          <w:szCs w:val="24"/>
          <w:lang w:eastAsia="es-ES"/>
        </w:rPr>
      </w:pPr>
    </w:p>
    <w:p w:rsidR="00D558BE" w:rsidRPr="004D1331" w:rsidRDefault="00C319E1" w:rsidP="00D558BE">
      <w:pPr>
        <w:widowControl w:val="0"/>
        <w:tabs>
          <w:tab w:val="left" w:pos="4830"/>
        </w:tabs>
        <w:spacing w:after="0" w:line="240" w:lineRule="auto"/>
        <w:jc w:val="center"/>
        <w:rPr>
          <w:rFonts w:ascii="Calibri" w:eastAsia="Times New Roman" w:hAnsi="Calibri" w:cs="Calibri"/>
          <w:b/>
          <w:i/>
          <w:color w:val="4F6228" w:themeColor="accent3" w:themeShade="80"/>
          <w:sz w:val="26"/>
          <w:szCs w:val="26"/>
          <w:lang w:eastAsia="es-ES"/>
        </w:rPr>
      </w:pPr>
      <w:r w:rsidRPr="004D1331">
        <w:rPr>
          <w:b/>
          <w:i/>
          <w:color w:val="4F6228" w:themeColor="accent3" w:themeShade="80"/>
          <w:sz w:val="20"/>
          <w:szCs w:val="28"/>
        </w:rPr>
        <w:t>G2</w:t>
      </w:r>
      <w:r w:rsidR="00661223" w:rsidRPr="004D1331">
        <w:rPr>
          <w:b/>
          <w:i/>
          <w:color w:val="4F6228" w:themeColor="accent3" w:themeShade="80"/>
          <w:sz w:val="20"/>
          <w:szCs w:val="28"/>
        </w:rPr>
        <w:t>5</w:t>
      </w:r>
      <w:r w:rsidRPr="004D1331">
        <w:rPr>
          <w:b/>
          <w:i/>
          <w:color w:val="4F6228" w:themeColor="accent3" w:themeShade="80"/>
          <w:sz w:val="20"/>
          <w:szCs w:val="28"/>
        </w:rPr>
        <w:t xml:space="preserve"> - </w:t>
      </w:r>
      <w:r w:rsidR="00D558BE" w:rsidRPr="004D1331">
        <w:rPr>
          <w:rFonts w:ascii="Calibri" w:eastAsia="Times New Roman" w:hAnsi="Calibri" w:cs="Calibri"/>
          <w:b/>
          <w:i/>
          <w:color w:val="4F6228" w:themeColor="accent3" w:themeShade="80"/>
          <w:sz w:val="26"/>
          <w:szCs w:val="26"/>
          <w:lang w:eastAsia="es-ES"/>
        </w:rPr>
        <w:t xml:space="preserve">Tasa de riesgo de pobreza </w:t>
      </w:r>
      <w:r w:rsidR="00611A9E" w:rsidRPr="004D1331">
        <w:rPr>
          <w:rFonts w:ascii="Calibri" w:eastAsia="Times New Roman" w:hAnsi="Calibri" w:cs="Calibri"/>
          <w:b/>
          <w:i/>
          <w:color w:val="4F6228" w:themeColor="accent3" w:themeShade="80"/>
          <w:sz w:val="26"/>
          <w:szCs w:val="26"/>
          <w:lang w:eastAsia="es-ES"/>
        </w:rPr>
        <w:t xml:space="preserve">de ocupados y </w:t>
      </w:r>
      <w:r w:rsidR="003B7CA1" w:rsidRPr="004D1331">
        <w:rPr>
          <w:rFonts w:ascii="Calibri" w:eastAsia="Times New Roman" w:hAnsi="Calibri" w:cs="Calibri"/>
          <w:b/>
          <w:i/>
          <w:color w:val="4F6228" w:themeColor="accent3" w:themeShade="80"/>
          <w:sz w:val="26"/>
          <w:szCs w:val="26"/>
          <w:lang w:eastAsia="es-ES"/>
        </w:rPr>
        <w:t>desempleados</w:t>
      </w:r>
      <w:r w:rsidR="00D558BE" w:rsidRPr="004D1331">
        <w:rPr>
          <w:rFonts w:ascii="Calibri" w:eastAsia="Times New Roman" w:hAnsi="Calibri" w:cs="Calibri"/>
          <w:b/>
          <w:i/>
          <w:color w:val="4F6228" w:themeColor="accent3" w:themeShade="80"/>
          <w:sz w:val="26"/>
          <w:szCs w:val="26"/>
          <w:lang w:eastAsia="es-ES"/>
        </w:rPr>
        <w:t xml:space="preserve"> (%)</w:t>
      </w:r>
    </w:p>
    <w:p w:rsidR="00EE1054" w:rsidRPr="004D1331" w:rsidRDefault="00EE1054" w:rsidP="00D558BE">
      <w:pPr>
        <w:widowControl w:val="0"/>
        <w:tabs>
          <w:tab w:val="left" w:pos="4830"/>
        </w:tabs>
        <w:spacing w:after="0" w:line="240" w:lineRule="auto"/>
        <w:jc w:val="center"/>
        <w:rPr>
          <w:rFonts w:ascii="Calibri" w:eastAsia="Times New Roman" w:hAnsi="Calibri" w:cs="Calibri"/>
          <w:b/>
          <w:i/>
          <w:color w:val="4F6228" w:themeColor="accent3" w:themeShade="80"/>
          <w:sz w:val="26"/>
          <w:szCs w:val="26"/>
          <w:lang w:eastAsia="es-ES"/>
        </w:rPr>
      </w:pPr>
    </w:p>
    <w:p w:rsidR="00611A9E" w:rsidRPr="004D1331" w:rsidRDefault="003B7CA1" w:rsidP="00D558BE">
      <w:pPr>
        <w:widowControl w:val="0"/>
        <w:tabs>
          <w:tab w:val="left" w:pos="426"/>
        </w:tabs>
        <w:spacing w:after="0" w:line="240" w:lineRule="auto"/>
        <w:ind w:left="142"/>
        <w:jc w:val="center"/>
        <w:rPr>
          <w:rFonts w:ascii="Calibri" w:eastAsia="Times New Roman" w:hAnsi="Calibri" w:cs="Calibri"/>
          <w:color w:val="4F6228" w:themeColor="accent3" w:themeShade="80"/>
          <w:sz w:val="24"/>
          <w:szCs w:val="24"/>
          <w:lang w:eastAsia="es-ES"/>
        </w:rPr>
      </w:pPr>
      <w:r w:rsidRPr="004D1331">
        <w:rPr>
          <w:noProof/>
          <w:color w:val="4F6228" w:themeColor="accent3" w:themeShade="80"/>
          <w:lang w:eastAsia="es-ES"/>
        </w:rPr>
        <w:drawing>
          <wp:inline distT="0" distB="0" distL="0" distR="0">
            <wp:extent cx="4292600" cy="283210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92600" cy="2832100"/>
                    </a:xfrm>
                    <a:prstGeom prst="rect">
                      <a:avLst/>
                    </a:prstGeom>
                    <a:noFill/>
                    <a:ln>
                      <a:noFill/>
                    </a:ln>
                  </pic:spPr>
                </pic:pic>
              </a:graphicData>
            </a:graphic>
          </wp:inline>
        </w:drawing>
      </w:r>
    </w:p>
    <w:p w:rsidR="00EE1054" w:rsidRPr="004D1331" w:rsidRDefault="00EE1054" w:rsidP="00EE6190">
      <w:pPr>
        <w:widowControl w:val="0"/>
        <w:tabs>
          <w:tab w:val="left" w:pos="426"/>
        </w:tabs>
        <w:spacing w:after="0" w:line="240" w:lineRule="auto"/>
        <w:ind w:left="142" w:firstLine="709"/>
        <w:jc w:val="both"/>
        <w:rPr>
          <w:rFonts w:ascii="Calibri" w:eastAsia="Times New Roman" w:hAnsi="Calibri" w:cs="Calibri"/>
          <w:i/>
          <w:color w:val="4F6228" w:themeColor="accent3" w:themeShade="80"/>
          <w:sz w:val="20"/>
          <w:szCs w:val="24"/>
          <w:lang w:eastAsia="es-ES"/>
        </w:rPr>
      </w:pPr>
    </w:p>
    <w:p w:rsidR="00D558BE" w:rsidRPr="004D1331" w:rsidRDefault="00D558BE" w:rsidP="00EE6190">
      <w:pPr>
        <w:widowControl w:val="0"/>
        <w:tabs>
          <w:tab w:val="left" w:pos="426"/>
        </w:tabs>
        <w:spacing w:after="0" w:line="240" w:lineRule="auto"/>
        <w:ind w:left="142" w:firstLine="709"/>
        <w:jc w:val="both"/>
        <w:rPr>
          <w:rFonts w:ascii="Calibri" w:eastAsia="Times New Roman" w:hAnsi="Calibri" w:cs="Calibri"/>
          <w:i/>
          <w:color w:val="4F6228" w:themeColor="accent3" w:themeShade="80"/>
          <w:sz w:val="20"/>
          <w:szCs w:val="24"/>
          <w:lang w:eastAsia="es-ES"/>
        </w:rPr>
      </w:pPr>
      <w:r w:rsidRPr="004D1331">
        <w:rPr>
          <w:rFonts w:ascii="Calibri" w:eastAsia="Times New Roman" w:hAnsi="Calibri" w:cs="Calibri"/>
          <w:i/>
          <w:color w:val="4F6228" w:themeColor="accent3" w:themeShade="80"/>
          <w:sz w:val="20"/>
          <w:szCs w:val="24"/>
          <w:lang w:eastAsia="es-ES"/>
        </w:rPr>
        <w:t>Fuente: Encuesta de Condiciones de Vida. INE</w:t>
      </w:r>
    </w:p>
    <w:p w:rsidR="00D558BE" w:rsidRPr="004D1331" w:rsidRDefault="00D558BE" w:rsidP="00376B24">
      <w:pPr>
        <w:widowControl w:val="0"/>
        <w:tabs>
          <w:tab w:val="left" w:pos="426"/>
        </w:tabs>
        <w:spacing w:after="0" w:line="240" w:lineRule="auto"/>
        <w:ind w:left="142"/>
        <w:jc w:val="both"/>
        <w:rPr>
          <w:rFonts w:ascii="Calibri" w:eastAsia="Times New Roman" w:hAnsi="Calibri" w:cs="Calibri"/>
          <w:color w:val="4F6228" w:themeColor="accent3" w:themeShade="80"/>
          <w:sz w:val="24"/>
          <w:szCs w:val="24"/>
          <w:lang w:eastAsia="es-ES"/>
        </w:rPr>
      </w:pPr>
    </w:p>
    <w:p w:rsidR="00EE1054" w:rsidRPr="004D1331" w:rsidRDefault="00EE1054" w:rsidP="00376B24">
      <w:pPr>
        <w:widowControl w:val="0"/>
        <w:tabs>
          <w:tab w:val="left" w:pos="426"/>
        </w:tabs>
        <w:spacing w:after="0" w:line="240" w:lineRule="auto"/>
        <w:ind w:left="142"/>
        <w:jc w:val="both"/>
        <w:rPr>
          <w:rFonts w:ascii="Calibri" w:eastAsia="Times New Roman" w:hAnsi="Calibri" w:cs="Calibri"/>
          <w:color w:val="4F6228" w:themeColor="accent3" w:themeShade="80"/>
          <w:sz w:val="24"/>
          <w:szCs w:val="24"/>
          <w:lang w:eastAsia="es-ES"/>
        </w:rPr>
      </w:pPr>
    </w:p>
    <w:p w:rsidR="00376B24" w:rsidRPr="004D1331" w:rsidRDefault="00376B24" w:rsidP="00376B24">
      <w:pPr>
        <w:widowControl w:val="0"/>
        <w:numPr>
          <w:ilvl w:val="0"/>
          <w:numId w:val="12"/>
        </w:numPr>
        <w:tabs>
          <w:tab w:val="left" w:pos="426"/>
        </w:tabs>
        <w:spacing w:after="0" w:line="240" w:lineRule="auto"/>
        <w:ind w:left="426" w:hanging="284"/>
        <w:jc w:val="both"/>
        <w:rPr>
          <w:rFonts w:ascii="Calibri" w:eastAsia="Times New Roman" w:hAnsi="Calibri" w:cs="Calibri"/>
          <w:color w:val="4F6228" w:themeColor="accent3" w:themeShade="80"/>
          <w:sz w:val="24"/>
          <w:szCs w:val="24"/>
          <w:lang w:eastAsia="es-ES"/>
        </w:rPr>
      </w:pPr>
      <w:r w:rsidRPr="004D1331">
        <w:rPr>
          <w:rFonts w:ascii="Calibri" w:eastAsia="Times New Roman" w:hAnsi="Calibri" w:cs="Calibri"/>
          <w:b/>
          <w:color w:val="4F6228" w:themeColor="accent3" w:themeShade="80"/>
          <w:sz w:val="24"/>
          <w:szCs w:val="24"/>
          <w:lang w:eastAsia="es-ES"/>
        </w:rPr>
        <w:t>El 20% de la población con mayor renta tiene 6,</w:t>
      </w:r>
      <w:r w:rsidR="003C1313" w:rsidRPr="004D1331">
        <w:rPr>
          <w:rFonts w:ascii="Calibri" w:eastAsia="Times New Roman" w:hAnsi="Calibri" w:cs="Calibri"/>
          <w:b/>
          <w:color w:val="4F6228" w:themeColor="accent3" w:themeShade="80"/>
          <w:sz w:val="24"/>
          <w:szCs w:val="24"/>
          <w:lang w:eastAsia="es-ES"/>
        </w:rPr>
        <w:t>6</w:t>
      </w:r>
      <w:r w:rsidRPr="004D1331">
        <w:rPr>
          <w:rFonts w:ascii="Calibri" w:eastAsia="Times New Roman" w:hAnsi="Calibri" w:cs="Calibri"/>
          <w:b/>
          <w:color w:val="4F6228" w:themeColor="accent3" w:themeShade="80"/>
          <w:sz w:val="24"/>
          <w:szCs w:val="24"/>
          <w:lang w:eastAsia="es-ES"/>
        </w:rPr>
        <w:t xml:space="preserve"> veces más que el 20% con menor renta, cuando en 2009 era 5,9 veces más.</w:t>
      </w:r>
    </w:p>
    <w:p w:rsidR="00AB29F8" w:rsidRPr="004D1331" w:rsidRDefault="00AB29F8" w:rsidP="00AB29F8">
      <w:pPr>
        <w:widowControl w:val="0"/>
        <w:tabs>
          <w:tab w:val="left" w:pos="426"/>
        </w:tabs>
        <w:spacing w:after="0" w:line="240" w:lineRule="auto"/>
        <w:ind w:left="426"/>
        <w:jc w:val="both"/>
        <w:rPr>
          <w:rFonts w:ascii="Calibri" w:eastAsia="Times New Roman" w:hAnsi="Calibri" w:cs="Calibri"/>
          <w:color w:val="4F6228" w:themeColor="accent3" w:themeShade="80"/>
          <w:sz w:val="24"/>
          <w:szCs w:val="24"/>
          <w:lang w:eastAsia="es-ES"/>
        </w:rPr>
      </w:pPr>
    </w:p>
    <w:p w:rsidR="00AB29F8" w:rsidRPr="001D3810" w:rsidRDefault="00AB29F8" w:rsidP="00AB29F8">
      <w:pPr>
        <w:widowControl w:val="0"/>
        <w:numPr>
          <w:ilvl w:val="0"/>
          <w:numId w:val="12"/>
        </w:numPr>
        <w:tabs>
          <w:tab w:val="left" w:pos="426"/>
        </w:tabs>
        <w:spacing w:after="0" w:line="240" w:lineRule="auto"/>
        <w:ind w:left="426" w:hanging="284"/>
        <w:jc w:val="both"/>
        <w:rPr>
          <w:rFonts w:ascii="Calibri" w:eastAsia="Times New Roman" w:hAnsi="Calibri" w:cs="Calibri"/>
          <w:sz w:val="24"/>
          <w:szCs w:val="24"/>
          <w:lang w:eastAsia="es-ES"/>
        </w:rPr>
      </w:pPr>
      <w:r w:rsidRPr="004D1331">
        <w:rPr>
          <w:rFonts w:ascii="Calibri" w:eastAsia="Times New Roman" w:hAnsi="Calibri" w:cs="Calibri"/>
          <w:color w:val="4F6228" w:themeColor="accent3" w:themeShade="80"/>
          <w:sz w:val="24"/>
          <w:szCs w:val="24"/>
          <w:lang w:eastAsia="es-ES"/>
        </w:rPr>
        <w:t xml:space="preserve">El </w:t>
      </w:r>
      <w:r w:rsidRPr="004D1331">
        <w:rPr>
          <w:rFonts w:ascii="Calibri" w:eastAsia="Times New Roman" w:hAnsi="Calibri" w:cs="Calibri"/>
          <w:b/>
          <w:color w:val="4F6228" w:themeColor="accent3" w:themeShade="80"/>
          <w:sz w:val="24"/>
          <w:szCs w:val="24"/>
          <w:lang w:eastAsia="es-ES"/>
        </w:rPr>
        <w:t>índice de Gini es de 34,5,</w:t>
      </w:r>
      <w:r w:rsidRPr="001D3810">
        <w:rPr>
          <w:rFonts w:ascii="Calibri" w:eastAsia="Times New Roman" w:hAnsi="Calibri" w:cs="Calibri"/>
          <w:sz w:val="24"/>
          <w:szCs w:val="24"/>
          <w:lang w:eastAsia="es-ES"/>
        </w:rPr>
        <w:t xml:space="preserve"> el mayor de la Unión Europea tras Lituania y Rumanía.</w:t>
      </w:r>
    </w:p>
    <w:p w:rsidR="00AB29F8" w:rsidRPr="001D3810" w:rsidRDefault="00AB29F8" w:rsidP="00AB29F8">
      <w:pPr>
        <w:pStyle w:val="Prrafodelista"/>
        <w:spacing w:after="0"/>
        <w:contextualSpacing w:val="0"/>
        <w:rPr>
          <w:rFonts w:ascii="Calibri" w:eastAsia="Times New Roman" w:hAnsi="Calibri" w:cs="Calibri"/>
          <w:sz w:val="24"/>
          <w:szCs w:val="24"/>
          <w:lang w:eastAsia="es-ES"/>
        </w:rPr>
      </w:pPr>
    </w:p>
    <w:p w:rsidR="00AB29F8" w:rsidRPr="001D3810" w:rsidRDefault="00AB29F8" w:rsidP="00AB29F8">
      <w:pPr>
        <w:widowControl w:val="0"/>
        <w:numPr>
          <w:ilvl w:val="0"/>
          <w:numId w:val="12"/>
        </w:numPr>
        <w:tabs>
          <w:tab w:val="left" w:pos="426"/>
        </w:tabs>
        <w:spacing w:after="0" w:line="240" w:lineRule="auto"/>
        <w:ind w:left="426" w:hanging="284"/>
        <w:jc w:val="both"/>
        <w:rPr>
          <w:rFonts w:ascii="Calibri" w:eastAsia="Times New Roman" w:hAnsi="Calibri" w:cs="Calibri"/>
          <w:sz w:val="24"/>
          <w:szCs w:val="24"/>
          <w:lang w:eastAsia="es-ES"/>
        </w:rPr>
      </w:pPr>
      <w:r w:rsidRPr="001D3810">
        <w:rPr>
          <w:rFonts w:ascii="Calibri" w:eastAsia="Times New Roman" w:hAnsi="Calibri" w:cs="Calibri"/>
          <w:sz w:val="24"/>
          <w:szCs w:val="24"/>
          <w:lang w:eastAsia="es-ES"/>
        </w:rPr>
        <w:t xml:space="preserve">Y de 2007 a 2016, </w:t>
      </w:r>
      <w:r w:rsidRPr="004D1331">
        <w:rPr>
          <w:rFonts w:ascii="Calibri" w:eastAsia="Times New Roman" w:hAnsi="Calibri" w:cs="Calibri"/>
          <w:b/>
          <w:color w:val="4F6228" w:themeColor="accent3" w:themeShade="80"/>
          <w:sz w:val="24"/>
          <w:szCs w:val="24"/>
          <w:lang w:eastAsia="es-ES"/>
        </w:rPr>
        <w:t>el 10% más pobre ha disminuido su participación en la renta nacional un 17%</w:t>
      </w:r>
      <w:r w:rsidRPr="004D1331">
        <w:rPr>
          <w:rFonts w:ascii="Calibri" w:eastAsia="Times New Roman" w:hAnsi="Calibri" w:cs="Calibri"/>
          <w:color w:val="4F6228" w:themeColor="accent3" w:themeShade="80"/>
          <w:sz w:val="24"/>
          <w:szCs w:val="24"/>
          <w:lang w:eastAsia="es-ES"/>
        </w:rPr>
        <w:t>,</w:t>
      </w:r>
      <w:r w:rsidRPr="001D3810">
        <w:rPr>
          <w:rFonts w:ascii="Calibri" w:eastAsia="Times New Roman" w:hAnsi="Calibri" w:cs="Calibri"/>
          <w:sz w:val="24"/>
          <w:szCs w:val="24"/>
          <w:lang w:eastAsia="es-ES"/>
        </w:rPr>
        <w:t xml:space="preserve"> mientras que el 10% más rico la ha aumentado un 5%. Y el 1% más rico la ha incrementado en un 9%.</w:t>
      </w:r>
      <w:r w:rsidRPr="001D3810">
        <w:rPr>
          <w:rStyle w:val="Refdenotaalpie"/>
          <w:rFonts w:ascii="Calibri" w:eastAsia="Times New Roman" w:hAnsi="Calibri" w:cs="Calibri"/>
          <w:sz w:val="24"/>
          <w:szCs w:val="24"/>
          <w:lang w:eastAsia="es-ES"/>
        </w:rPr>
        <w:footnoteReference w:id="7"/>
      </w:r>
    </w:p>
    <w:p w:rsidR="00710D71" w:rsidRPr="001D3810" w:rsidRDefault="00710D71" w:rsidP="00FD16F2">
      <w:pPr>
        <w:widowControl w:val="0"/>
        <w:tabs>
          <w:tab w:val="left" w:pos="426"/>
        </w:tabs>
        <w:spacing w:after="0" w:line="240" w:lineRule="auto"/>
        <w:ind w:left="142"/>
        <w:jc w:val="both"/>
        <w:rPr>
          <w:rFonts w:ascii="Calibri" w:eastAsia="Times New Roman" w:hAnsi="Calibri" w:cs="Calibri"/>
          <w:lang w:eastAsia="es-ES"/>
        </w:rPr>
      </w:pPr>
    </w:p>
    <w:p w:rsidR="00EE1054" w:rsidRPr="001D3810" w:rsidRDefault="00EE1054">
      <w:pPr>
        <w:rPr>
          <w:rFonts w:ascii="Calibri" w:eastAsia="Times New Roman" w:hAnsi="Calibri" w:cs="Calibri"/>
          <w:lang w:eastAsia="es-ES"/>
        </w:rPr>
      </w:pPr>
      <w:r w:rsidRPr="001D3810">
        <w:rPr>
          <w:rFonts w:ascii="Calibri" w:eastAsia="Times New Roman" w:hAnsi="Calibri" w:cs="Calibri"/>
          <w:lang w:eastAsia="es-ES"/>
        </w:rPr>
        <w:br w:type="page"/>
      </w:r>
    </w:p>
    <w:p w:rsidR="00ED2545" w:rsidRPr="004D1331" w:rsidRDefault="002115AD" w:rsidP="00AA4DF7">
      <w:pPr>
        <w:pStyle w:val="Prrafodelista"/>
        <w:numPr>
          <w:ilvl w:val="0"/>
          <w:numId w:val="13"/>
        </w:numPr>
        <w:spacing w:after="0" w:line="240" w:lineRule="auto"/>
        <w:ind w:left="426" w:hanging="426"/>
        <w:jc w:val="both"/>
        <w:rPr>
          <w:b/>
          <w:color w:val="4F6228" w:themeColor="accent3" w:themeShade="80"/>
          <w:sz w:val="28"/>
          <w:szCs w:val="28"/>
        </w:rPr>
      </w:pPr>
      <w:r w:rsidRPr="004D1331">
        <w:rPr>
          <w:b/>
          <w:color w:val="4F6228" w:themeColor="accent3" w:themeShade="80"/>
          <w:sz w:val="28"/>
          <w:szCs w:val="28"/>
        </w:rPr>
        <w:lastRenderedPageBreak/>
        <w:t>Revertir las últimas reformas laborales y atacar el fraude en la contratación es prioritario para erradicar la precariedad</w:t>
      </w:r>
    </w:p>
    <w:p w:rsidR="00F17756" w:rsidRPr="004D1331" w:rsidRDefault="00F17756" w:rsidP="00FB46CF">
      <w:pPr>
        <w:spacing w:after="0" w:line="240" w:lineRule="auto"/>
        <w:jc w:val="both"/>
        <w:rPr>
          <w:color w:val="4F6228" w:themeColor="accent3" w:themeShade="80"/>
          <w:sz w:val="24"/>
          <w:szCs w:val="24"/>
        </w:rPr>
      </w:pPr>
    </w:p>
    <w:p w:rsidR="0001259F" w:rsidRPr="001D3810" w:rsidRDefault="00287765" w:rsidP="007C6E3A">
      <w:pPr>
        <w:spacing w:after="0" w:line="240" w:lineRule="auto"/>
        <w:jc w:val="both"/>
        <w:rPr>
          <w:sz w:val="24"/>
          <w:szCs w:val="24"/>
        </w:rPr>
      </w:pPr>
      <w:r w:rsidRPr="004D1331">
        <w:rPr>
          <w:b/>
          <w:color w:val="4F6228" w:themeColor="accent3" w:themeShade="80"/>
          <w:sz w:val="24"/>
          <w:szCs w:val="24"/>
        </w:rPr>
        <w:t xml:space="preserve">En el empeoramiento general del mercado laboral desde 2009 han tenido una responsabilidad muy importante las </w:t>
      </w:r>
      <w:r w:rsidR="00D01B19" w:rsidRPr="004D1331">
        <w:rPr>
          <w:b/>
          <w:color w:val="4F6228" w:themeColor="accent3" w:themeShade="80"/>
          <w:sz w:val="24"/>
          <w:szCs w:val="24"/>
        </w:rPr>
        <w:t xml:space="preserve">últimas </w:t>
      </w:r>
      <w:r w:rsidRPr="004D1331">
        <w:rPr>
          <w:b/>
          <w:color w:val="4F6228" w:themeColor="accent3" w:themeShade="80"/>
          <w:sz w:val="24"/>
          <w:szCs w:val="24"/>
        </w:rPr>
        <w:t xml:space="preserve">reformas laborales, sobre todo </w:t>
      </w:r>
      <w:r w:rsidR="00D01B19" w:rsidRPr="004D1331">
        <w:rPr>
          <w:b/>
          <w:color w:val="4F6228" w:themeColor="accent3" w:themeShade="80"/>
          <w:sz w:val="24"/>
          <w:szCs w:val="24"/>
        </w:rPr>
        <w:t xml:space="preserve">la </w:t>
      </w:r>
      <w:r w:rsidRPr="004D1331">
        <w:rPr>
          <w:b/>
          <w:color w:val="4F6228" w:themeColor="accent3" w:themeShade="80"/>
          <w:sz w:val="24"/>
          <w:szCs w:val="24"/>
        </w:rPr>
        <w:t>de 2012.</w:t>
      </w:r>
      <w:r w:rsidRPr="001D3810">
        <w:rPr>
          <w:sz w:val="24"/>
          <w:szCs w:val="24"/>
        </w:rPr>
        <w:t xml:space="preserve"> Estas reformas fueron impuestas por los diferentes gobiernos como parte de la estrategia de la austeridad extrema promovida desde la </w:t>
      </w:r>
      <w:r w:rsidRPr="001D3810">
        <w:rPr>
          <w:i/>
          <w:sz w:val="24"/>
          <w:szCs w:val="24"/>
        </w:rPr>
        <w:t>troika</w:t>
      </w:r>
      <w:r w:rsidR="002F3311" w:rsidRPr="001D3810">
        <w:rPr>
          <w:i/>
          <w:sz w:val="24"/>
          <w:szCs w:val="24"/>
        </w:rPr>
        <w:t xml:space="preserve"> </w:t>
      </w:r>
      <w:r w:rsidR="004B6734" w:rsidRPr="001D3810">
        <w:rPr>
          <w:sz w:val="24"/>
          <w:szCs w:val="24"/>
        </w:rPr>
        <w:t xml:space="preserve">a los países del sur de Europa, y han tenido un impacto muy negativo. </w:t>
      </w:r>
    </w:p>
    <w:p w:rsidR="0001259F" w:rsidRPr="001D3810" w:rsidRDefault="0001259F" w:rsidP="007C6E3A">
      <w:pPr>
        <w:spacing w:after="0" w:line="240" w:lineRule="auto"/>
        <w:jc w:val="both"/>
        <w:rPr>
          <w:sz w:val="24"/>
          <w:szCs w:val="24"/>
        </w:rPr>
      </w:pPr>
    </w:p>
    <w:p w:rsidR="007C6E3A" w:rsidRPr="001D3810" w:rsidRDefault="004B6734" w:rsidP="007C6E3A">
      <w:pPr>
        <w:spacing w:after="0" w:line="240" w:lineRule="auto"/>
        <w:jc w:val="both"/>
        <w:rPr>
          <w:sz w:val="24"/>
          <w:szCs w:val="24"/>
        </w:rPr>
      </w:pPr>
      <w:r w:rsidRPr="001D3810">
        <w:rPr>
          <w:sz w:val="24"/>
          <w:szCs w:val="24"/>
        </w:rPr>
        <w:t xml:space="preserve">Aunque fueron introducidas con el argumento de que </w:t>
      </w:r>
      <w:r w:rsidR="007C6E3A" w:rsidRPr="001D3810">
        <w:rPr>
          <w:sz w:val="24"/>
          <w:szCs w:val="24"/>
        </w:rPr>
        <w:t xml:space="preserve">buscaban facilitar la creación de puestos de trabajo y </w:t>
      </w:r>
      <w:r w:rsidRPr="001D3810">
        <w:rPr>
          <w:sz w:val="24"/>
          <w:szCs w:val="24"/>
        </w:rPr>
        <w:t xml:space="preserve">promover </w:t>
      </w:r>
      <w:r w:rsidR="007C6E3A" w:rsidRPr="001D3810">
        <w:rPr>
          <w:sz w:val="24"/>
          <w:szCs w:val="24"/>
        </w:rPr>
        <w:t>la estabilidad en el empleo, la contratación indefinida y la reducción de las desigualdad</w:t>
      </w:r>
      <w:r w:rsidRPr="001D3810">
        <w:rPr>
          <w:sz w:val="24"/>
          <w:szCs w:val="24"/>
        </w:rPr>
        <w:t xml:space="preserve">es, lo cierto es que, tal y como resultaba evidente a la vista de las medidas que contenían, </w:t>
      </w:r>
      <w:r w:rsidRPr="004D1331">
        <w:rPr>
          <w:b/>
          <w:color w:val="4F6228" w:themeColor="accent3" w:themeShade="80"/>
          <w:sz w:val="24"/>
          <w:szCs w:val="24"/>
        </w:rPr>
        <w:t>solo han conseguido aumentar la desprotección de los trabajadores y las trabajadoras, extender la precariedad laboral e incrementar las desigualdades.</w:t>
      </w:r>
      <w:r w:rsidRPr="001D3810">
        <w:rPr>
          <w:b/>
          <w:sz w:val="24"/>
          <w:szCs w:val="24"/>
        </w:rPr>
        <w:t xml:space="preserve"> </w:t>
      </w:r>
      <w:r w:rsidR="00CE54B7" w:rsidRPr="001D3810">
        <w:rPr>
          <w:sz w:val="24"/>
          <w:szCs w:val="24"/>
        </w:rPr>
        <w:t xml:space="preserve">Se ha dado mucho más poder </w:t>
      </w:r>
      <w:r w:rsidRPr="001D3810">
        <w:rPr>
          <w:sz w:val="24"/>
          <w:szCs w:val="24"/>
        </w:rPr>
        <w:t xml:space="preserve">al empresario </w:t>
      </w:r>
      <w:r w:rsidR="00994107" w:rsidRPr="001D3810">
        <w:rPr>
          <w:sz w:val="24"/>
          <w:szCs w:val="24"/>
        </w:rPr>
        <w:t>y se</w:t>
      </w:r>
      <w:r w:rsidR="00CE54B7" w:rsidRPr="001D3810">
        <w:rPr>
          <w:sz w:val="24"/>
          <w:szCs w:val="24"/>
        </w:rPr>
        <w:t xml:space="preserve"> ha </w:t>
      </w:r>
      <w:r w:rsidRPr="001D3810">
        <w:rPr>
          <w:sz w:val="24"/>
          <w:szCs w:val="24"/>
        </w:rPr>
        <w:t>debilita</w:t>
      </w:r>
      <w:r w:rsidR="00CE54B7" w:rsidRPr="001D3810">
        <w:rPr>
          <w:sz w:val="24"/>
          <w:szCs w:val="24"/>
        </w:rPr>
        <w:t xml:space="preserve">do la capacidad negociadora de los </w:t>
      </w:r>
      <w:r w:rsidRPr="001D3810">
        <w:rPr>
          <w:sz w:val="24"/>
          <w:szCs w:val="24"/>
        </w:rPr>
        <w:t>trabajadores, individual y colectivamente</w:t>
      </w:r>
      <w:r w:rsidR="00CE54B7" w:rsidRPr="001D3810">
        <w:rPr>
          <w:sz w:val="24"/>
          <w:szCs w:val="24"/>
        </w:rPr>
        <w:t xml:space="preserve">. Y </w:t>
      </w:r>
      <w:r w:rsidR="0001259F" w:rsidRPr="001D3810">
        <w:rPr>
          <w:sz w:val="24"/>
          <w:szCs w:val="24"/>
        </w:rPr>
        <w:t xml:space="preserve">en nada han </w:t>
      </w:r>
      <w:r w:rsidR="00CE54B7" w:rsidRPr="001D3810">
        <w:rPr>
          <w:sz w:val="24"/>
          <w:szCs w:val="24"/>
        </w:rPr>
        <w:t xml:space="preserve">mejorado </w:t>
      </w:r>
      <w:r w:rsidR="0001259F" w:rsidRPr="001D3810">
        <w:rPr>
          <w:sz w:val="24"/>
          <w:szCs w:val="24"/>
        </w:rPr>
        <w:t>las</w:t>
      </w:r>
      <w:r w:rsidR="00CE54B7" w:rsidRPr="001D3810">
        <w:rPr>
          <w:sz w:val="24"/>
          <w:szCs w:val="24"/>
        </w:rPr>
        <w:t xml:space="preserve"> oportunidades de empleo</w:t>
      </w:r>
      <w:r w:rsidR="0001259F" w:rsidRPr="001D3810">
        <w:rPr>
          <w:sz w:val="24"/>
          <w:szCs w:val="24"/>
        </w:rPr>
        <w:t xml:space="preserve"> de las personas</w:t>
      </w:r>
      <w:r w:rsidR="00CE54B7" w:rsidRPr="001D3810">
        <w:rPr>
          <w:sz w:val="24"/>
          <w:szCs w:val="24"/>
        </w:rPr>
        <w:t xml:space="preserve">. </w:t>
      </w:r>
    </w:p>
    <w:p w:rsidR="0085709B" w:rsidRPr="001D3810" w:rsidRDefault="0085709B" w:rsidP="007C6E3A">
      <w:pPr>
        <w:spacing w:after="0" w:line="240" w:lineRule="auto"/>
        <w:jc w:val="both"/>
        <w:rPr>
          <w:sz w:val="24"/>
          <w:szCs w:val="24"/>
        </w:rPr>
      </w:pPr>
    </w:p>
    <w:p w:rsidR="006373BA" w:rsidRPr="004D1331" w:rsidRDefault="006373BA" w:rsidP="006373BA">
      <w:pPr>
        <w:spacing w:after="0" w:line="240" w:lineRule="auto"/>
        <w:jc w:val="center"/>
        <w:rPr>
          <w:b/>
          <w:i/>
          <w:color w:val="4F6228" w:themeColor="accent3" w:themeShade="80"/>
          <w:sz w:val="28"/>
          <w:szCs w:val="28"/>
        </w:rPr>
      </w:pPr>
      <w:r w:rsidRPr="004D1331">
        <w:rPr>
          <w:b/>
          <w:i/>
          <w:color w:val="4F6228" w:themeColor="accent3" w:themeShade="80"/>
          <w:sz w:val="20"/>
          <w:szCs w:val="28"/>
        </w:rPr>
        <w:t xml:space="preserve">C8 - </w:t>
      </w:r>
      <w:r w:rsidRPr="004D1331">
        <w:rPr>
          <w:b/>
          <w:i/>
          <w:color w:val="4F6228" w:themeColor="accent3" w:themeShade="80"/>
          <w:sz w:val="28"/>
          <w:szCs w:val="28"/>
        </w:rPr>
        <w:t>Principales variables del mercado laboral</w:t>
      </w:r>
    </w:p>
    <w:tbl>
      <w:tblPr>
        <w:tblW w:w="8662" w:type="dxa"/>
        <w:tblInd w:w="55" w:type="dxa"/>
        <w:tblCellMar>
          <w:left w:w="70" w:type="dxa"/>
          <w:right w:w="70" w:type="dxa"/>
        </w:tblCellMar>
        <w:tblLook w:val="04A0"/>
      </w:tblPr>
      <w:tblGrid>
        <w:gridCol w:w="4400"/>
        <w:gridCol w:w="1414"/>
        <w:gridCol w:w="1415"/>
        <w:gridCol w:w="1433"/>
      </w:tblGrid>
      <w:tr w:rsidR="002F3311" w:rsidRPr="004D1331" w:rsidTr="002F3311">
        <w:trPr>
          <w:trHeight w:val="255"/>
        </w:trPr>
        <w:tc>
          <w:tcPr>
            <w:tcW w:w="4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 </w:t>
            </w:r>
          </w:p>
        </w:tc>
        <w:tc>
          <w:tcPr>
            <w:tcW w:w="1414" w:type="dxa"/>
            <w:tcBorders>
              <w:top w:val="single" w:sz="4" w:space="0" w:color="auto"/>
              <w:left w:val="nil"/>
              <w:bottom w:val="single" w:sz="4" w:space="0" w:color="auto"/>
              <w:right w:val="single" w:sz="4" w:space="0" w:color="auto"/>
            </w:tcBorders>
            <w:shd w:val="clear" w:color="auto" w:fill="auto"/>
            <w:noWrap/>
            <w:vAlign w:val="bottom"/>
            <w:hideMark/>
          </w:tcPr>
          <w:p w:rsidR="002F3311" w:rsidRPr="004D1331" w:rsidRDefault="002F3311" w:rsidP="002F3311">
            <w:pPr>
              <w:spacing w:after="0" w:line="240" w:lineRule="auto"/>
              <w:jc w:val="center"/>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IV TRIM 2011</w:t>
            </w:r>
          </w:p>
        </w:tc>
        <w:tc>
          <w:tcPr>
            <w:tcW w:w="1415" w:type="dxa"/>
            <w:tcBorders>
              <w:top w:val="single" w:sz="4" w:space="0" w:color="auto"/>
              <w:left w:val="nil"/>
              <w:bottom w:val="single" w:sz="4" w:space="0" w:color="auto"/>
              <w:right w:val="single" w:sz="4" w:space="0" w:color="auto"/>
            </w:tcBorders>
            <w:shd w:val="clear" w:color="auto" w:fill="auto"/>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IV TRIM 2017</w:t>
            </w:r>
          </w:p>
        </w:tc>
        <w:tc>
          <w:tcPr>
            <w:tcW w:w="1433" w:type="dxa"/>
            <w:tcBorders>
              <w:top w:val="single" w:sz="4" w:space="0" w:color="auto"/>
              <w:left w:val="nil"/>
              <w:bottom w:val="single" w:sz="4" w:space="0" w:color="auto"/>
              <w:right w:val="single" w:sz="4" w:space="0" w:color="auto"/>
            </w:tcBorders>
            <w:shd w:val="clear" w:color="auto" w:fill="auto"/>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DIFERENCIA</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ACTIVOS</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4.021,9</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3.932,2</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-89,7</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ACTIVIDAD</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58,77</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56,94</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-1,83</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OCUPADOS</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2.774,9</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2.971,6</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196,7</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OCUPADOS A TIEMPO COMPLETO</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2.367,6</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2.489,1</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121,5</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OCUPADOS A TIEMPO PARCIAL</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407,3</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482,5</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75,2</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DE PARCIALIDAD</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14,7</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16,2</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1,5</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DESEMPLEADOS</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1.247</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960,6</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-286,4</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DE PARO</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31,01</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24,43</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-6,58</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PARADOS DE LARGA DURACIÓN</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630</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492,3</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-137,7</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PARADOS DE MUY LARGA DURACIÓN</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354,2</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362,1</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7,9</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DE PARO DE LARGA DURACIÓN</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50,52</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51,25</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0,73</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DE PARO DE MUY LARGA DURACIÓN</w:t>
            </w:r>
          </w:p>
        </w:tc>
        <w:tc>
          <w:tcPr>
            <w:tcW w:w="1414"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28,4</w:t>
            </w:r>
          </w:p>
        </w:tc>
        <w:tc>
          <w:tcPr>
            <w:tcW w:w="1415"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37,69</w:t>
            </w:r>
          </w:p>
        </w:tc>
        <w:tc>
          <w:tcPr>
            <w:tcW w:w="1433" w:type="dxa"/>
            <w:tcBorders>
              <w:top w:val="nil"/>
              <w:left w:val="nil"/>
              <w:bottom w:val="single" w:sz="4" w:space="0" w:color="auto"/>
              <w:right w:val="single" w:sz="4" w:space="0" w:color="auto"/>
            </w:tcBorders>
            <w:shd w:val="clear" w:color="000000" w:fill="BFBFBF"/>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9,29</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ASALARIADOS CONTRATO INDEFINIDO</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1.514,9</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1.576,8</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61,9</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ASALARIADOS CONTRATO TEMPORAL</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786,7</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875</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88,3</w:t>
            </w:r>
          </w:p>
        </w:tc>
      </w:tr>
      <w:tr w:rsidR="002F3311" w:rsidRPr="001D3810" w:rsidTr="002F3311">
        <w:trPr>
          <w:trHeight w:val="255"/>
        </w:trPr>
        <w:tc>
          <w:tcPr>
            <w:tcW w:w="4400" w:type="dxa"/>
            <w:tcBorders>
              <w:top w:val="nil"/>
              <w:left w:val="single" w:sz="4" w:space="0" w:color="auto"/>
              <w:bottom w:val="single" w:sz="4" w:space="0" w:color="auto"/>
              <w:right w:val="single" w:sz="4" w:space="0" w:color="auto"/>
            </w:tcBorders>
            <w:shd w:val="clear" w:color="000000" w:fill="FFFFFF"/>
            <w:noWrap/>
            <w:vAlign w:val="bottom"/>
            <w:hideMark/>
          </w:tcPr>
          <w:p w:rsidR="002F3311" w:rsidRPr="004D1331" w:rsidRDefault="002F3311" w:rsidP="002F3311">
            <w:pPr>
              <w:spacing w:after="0" w:line="240" w:lineRule="auto"/>
              <w:rPr>
                <w:rFonts w:ascii="Arial" w:eastAsia="Times New Roman" w:hAnsi="Arial" w:cs="Arial"/>
                <w:b/>
                <w:bCs/>
                <w:color w:val="4F6228" w:themeColor="accent3" w:themeShade="80"/>
                <w:sz w:val="20"/>
                <w:szCs w:val="20"/>
                <w:lang w:eastAsia="es-ES"/>
              </w:rPr>
            </w:pPr>
            <w:r w:rsidRPr="004D1331">
              <w:rPr>
                <w:rFonts w:ascii="Arial" w:eastAsia="Times New Roman" w:hAnsi="Arial" w:cs="Arial"/>
                <w:b/>
                <w:bCs/>
                <w:color w:val="4F6228" w:themeColor="accent3" w:themeShade="80"/>
                <w:sz w:val="20"/>
                <w:szCs w:val="20"/>
                <w:lang w:eastAsia="es-ES"/>
              </w:rPr>
              <w:t>TASA DE TEMPORALIDAD</w:t>
            </w:r>
          </w:p>
        </w:tc>
        <w:tc>
          <w:tcPr>
            <w:tcW w:w="1414"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34,2</w:t>
            </w:r>
          </w:p>
        </w:tc>
        <w:tc>
          <w:tcPr>
            <w:tcW w:w="1415"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35,7</w:t>
            </w:r>
          </w:p>
        </w:tc>
        <w:tc>
          <w:tcPr>
            <w:tcW w:w="1433" w:type="dxa"/>
            <w:tcBorders>
              <w:top w:val="nil"/>
              <w:left w:val="nil"/>
              <w:bottom w:val="single" w:sz="4" w:space="0" w:color="auto"/>
              <w:right w:val="single" w:sz="4" w:space="0" w:color="auto"/>
            </w:tcBorders>
            <w:shd w:val="clear" w:color="000000" w:fill="A5A5A5"/>
            <w:noWrap/>
            <w:vAlign w:val="bottom"/>
            <w:hideMark/>
          </w:tcPr>
          <w:p w:rsidR="002F3311" w:rsidRPr="001D3810" w:rsidRDefault="002F3311" w:rsidP="002F3311">
            <w:pPr>
              <w:spacing w:after="0" w:line="240" w:lineRule="auto"/>
              <w:jc w:val="center"/>
              <w:rPr>
                <w:rFonts w:ascii="Arial" w:eastAsia="Times New Roman" w:hAnsi="Arial" w:cs="Arial"/>
                <w:sz w:val="20"/>
                <w:szCs w:val="20"/>
                <w:lang w:eastAsia="es-ES"/>
              </w:rPr>
            </w:pPr>
            <w:r w:rsidRPr="001D3810">
              <w:rPr>
                <w:rFonts w:ascii="Arial" w:eastAsia="Times New Roman" w:hAnsi="Arial" w:cs="Arial"/>
                <w:sz w:val="20"/>
                <w:szCs w:val="20"/>
                <w:lang w:eastAsia="es-ES"/>
              </w:rPr>
              <w:t>1,5</w:t>
            </w:r>
          </w:p>
        </w:tc>
      </w:tr>
    </w:tbl>
    <w:p w:rsidR="002F3311" w:rsidRPr="004D1331" w:rsidRDefault="006373BA" w:rsidP="002F3311">
      <w:pPr>
        <w:spacing w:after="0" w:line="240" w:lineRule="auto"/>
        <w:jc w:val="center"/>
        <w:rPr>
          <w:b/>
          <w:i/>
          <w:color w:val="4F6228" w:themeColor="accent3" w:themeShade="80"/>
        </w:rPr>
      </w:pPr>
      <w:r w:rsidRPr="004D1331">
        <w:rPr>
          <w:rFonts w:eastAsiaTheme="minorEastAsia"/>
          <w:bCs/>
          <w:i/>
          <w:iCs/>
          <w:color w:val="4F6228" w:themeColor="accent3" w:themeShade="80"/>
          <w:kern w:val="24"/>
          <w:sz w:val="20"/>
          <w:szCs w:val="20"/>
        </w:rPr>
        <w:t>Fuente: EPA (INE)</w:t>
      </w:r>
      <w:r w:rsidR="002F3311" w:rsidRPr="004D1331">
        <w:rPr>
          <w:b/>
          <w:i/>
          <w:color w:val="4F6228" w:themeColor="accent3" w:themeShade="80"/>
        </w:rPr>
        <w:t xml:space="preserve"> Miles de personas; tasas en porcentaje</w:t>
      </w:r>
    </w:p>
    <w:p w:rsidR="006373BA" w:rsidRPr="001D3810" w:rsidRDefault="006373BA" w:rsidP="006373BA">
      <w:pPr>
        <w:spacing w:after="0" w:line="240" w:lineRule="auto"/>
        <w:jc w:val="both"/>
        <w:rPr>
          <w:sz w:val="24"/>
          <w:szCs w:val="24"/>
        </w:rPr>
      </w:pPr>
    </w:p>
    <w:p w:rsidR="0001259F" w:rsidRPr="001D3810" w:rsidRDefault="0001259F" w:rsidP="0001259F">
      <w:pPr>
        <w:spacing w:after="0" w:line="240" w:lineRule="auto"/>
        <w:jc w:val="both"/>
        <w:rPr>
          <w:sz w:val="24"/>
          <w:szCs w:val="24"/>
        </w:rPr>
      </w:pPr>
      <w:r w:rsidRPr="001D3810">
        <w:rPr>
          <w:sz w:val="24"/>
          <w:szCs w:val="24"/>
        </w:rPr>
        <w:t xml:space="preserve">Precisamente en febrero de 2018 se cumplirán </w:t>
      </w:r>
      <w:r w:rsidRPr="004D1331">
        <w:rPr>
          <w:b/>
          <w:color w:val="4F6228" w:themeColor="accent3" w:themeShade="80"/>
          <w:sz w:val="24"/>
          <w:szCs w:val="24"/>
        </w:rPr>
        <w:t>seis años de la puesta en marcha de la reforma de 2012</w:t>
      </w:r>
      <w:r w:rsidRPr="004D1331">
        <w:rPr>
          <w:rStyle w:val="Refdenotaalpie"/>
          <w:color w:val="4F6228" w:themeColor="accent3" w:themeShade="80"/>
          <w:sz w:val="24"/>
          <w:szCs w:val="24"/>
        </w:rPr>
        <w:footnoteReference w:id="8"/>
      </w:r>
      <w:r w:rsidRPr="004D1331">
        <w:rPr>
          <w:color w:val="4F6228" w:themeColor="accent3" w:themeShade="80"/>
          <w:sz w:val="24"/>
          <w:szCs w:val="24"/>
        </w:rPr>
        <w:t>,</w:t>
      </w:r>
      <w:r w:rsidRPr="001D3810">
        <w:rPr>
          <w:sz w:val="24"/>
          <w:szCs w:val="24"/>
        </w:rPr>
        <w:t xml:space="preserve"> aprobada en el Decreto Ley 3/2102, la más perniciosa de cuantas se han llevado a cabo hasta el momento en nuestro país. Una reforma que, al aprobarse, quebró los contenidos del </w:t>
      </w:r>
      <w:r w:rsidR="00C72309" w:rsidRPr="001D3810">
        <w:rPr>
          <w:i/>
          <w:sz w:val="24"/>
          <w:szCs w:val="24"/>
        </w:rPr>
        <w:t xml:space="preserve">II </w:t>
      </w:r>
      <w:r w:rsidRPr="001D3810">
        <w:rPr>
          <w:i/>
          <w:sz w:val="24"/>
          <w:szCs w:val="24"/>
        </w:rPr>
        <w:t>Acuerdo para el Empleo y la Negociación Colectiva</w:t>
      </w:r>
      <w:r w:rsidR="00C72309" w:rsidRPr="001D3810">
        <w:rPr>
          <w:sz w:val="24"/>
          <w:szCs w:val="24"/>
        </w:rPr>
        <w:t xml:space="preserve">(2012-2014) </w:t>
      </w:r>
      <w:r w:rsidRPr="001D3810">
        <w:rPr>
          <w:sz w:val="24"/>
          <w:szCs w:val="24"/>
        </w:rPr>
        <w:t xml:space="preserve">alcanzado semanas antes por </w:t>
      </w:r>
      <w:r w:rsidR="00C72309" w:rsidRPr="001D3810">
        <w:rPr>
          <w:sz w:val="24"/>
          <w:szCs w:val="24"/>
        </w:rPr>
        <w:t xml:space="preserve">los interlocutores sociales, </w:t>
      </w:r>
      <w:r w:rsidR="00CD63F6" w:rsidRPr="001D3810">
        <w:rPr>
          <w:sz w:val="24"/>
          <w:szCs w:val="24"/>
        </w:rPr>
        <w:t xml:space="preserve">e impuso un nuevo marco laboral profundamente desequilibrado a favor de los interese empresariales. </w:t>
      </w:r>
      <w:r w:rsidR="00CF6023" w:rsidRPr="001D3810">
        <w:rPr>
          <w:sz w:val="24"/>
          <w:szCs w:val="24"/>
        </w:rPr>
        <w:t>Fue una apuesta indudable por parte del Gobierno del PP por la discrecionalidad y la imposición como forma de gobernar las relaciones laborales, en lugar de poner el foco en el diálogo y la negociación.</w:t>
      </w:r>
    </w:p>
    <w:p w:rsidR="0001259F" w:rsidRPr="001D3810" w:rsidRDefault="0001259F" w:rsidP="007C6E3A">
      <w:pPr>
        <w:spacing w:after="0" w:line="240" w:lineRule="auto"/>
        <w:jc w:val="both"/>
        <w:rPr>
          <w:sz w:val="24"/>
          <w:szCs w:val="24"/>
        </w:rPr>
      </w:pPr>
    </w:p>
    <w:p w:rsidR="0001259F" w:rsidRPr="001D3810" w:rsidRDefault="00CF6023" w:rsidP="007C6E3A">
      <w:pPr>
        <w:spacing w:after="0" w:line="240" w:lineRule="auto"/>
        <w:jc w:val="both"/>
        <w:rPr>
          <w:sz w:val="24"/>
          <w:szCs w:val="24"/>
        </w:rPr>
      </w:pPr>
      <w:r w:rsidRPr="001D3810">
        <w:rPr>
          <w:sz w:val="24"/>
          <w:szCs w:val="24"/>
        </w:rPr>
        <w:t>Prácticamente ninguna de aquellas medidas incluidas en la reforma laboral de 2012 se ha revertido, a pesar de que la justificación fundamental para llevarla</w:t>
      </w:r>
      <w:r w:rsidR="005E0B45" w:rsidRPr="001D3810">
        <w:rPr>
          <w:sz w:val="24"/>
          <w:szCs w:val="24"/>
        </w:rPr>
        <w:t>s</w:t>
      </w:r>
      <w:r w:rsidRPr="001D3810">
        <w:rPr>
          <w:sz w:val="24"/>
          <w:szCs w:val="24"/>
        </w:rPr>
        <w:t xml:space="preserve"> a cabo era la situación de excepcionalmente negativa que atravesaba la economía española, y que requería (según las tesis de sus valedores) una terapia de choque</w:t>
      </w:r>
      <w:r w:rsidRPr="001D3810">
        <w:rPr>
          <w:rStyle w:val="Refdenotaalpie"/>
          <w:sz w:val="24"/>
          <w:szCs w:val="24"/>
        </w:rPr>
        <w:footnoteReference w:id="9"/>
      </w:r>
      <w:r w:rsidRPr="001D3810">
        <w:rPr>
          <w:sz w:val="24"/>
          <w:szCs w:val="24"/>
        </w:rPr>
        <w:t xml:space="preserve">. </w:t>
      </w:r>
      <w:r w:rsidR="005E0B45" w:rsidRPr="001D3810">
        <w:rPr>
          <w:sz w:val="24"/>
          <w:szCs w:val="24"/>
        </w:rPr>
        <w:t xml:space="preserve">Sin embargo, la evidencia de los datos muestra que </w:t>
      </w:r>
      <w:r w:rsidR="005E0B45" w:rsidRPr="004D1331">
        <w:rPr>
          <w:b/>
          <w:color w:val="4F6228" w:themeColor="accent3" w:themeShade="80"/>
          <w:sz w:val="24"/>
          <w:szCs w:val="24"/>
        </w:rPr>
        <w:t>la precariedad laboral, en sus distintas formas, ha aumentado desde entonces</w:t>
      </w:r>
      <w:r w:rsidR="005E0B45" w:rsidRPr="004D1331">
        <w:rPr>
          <w:color w:val="4F6228" w:themeColor="accent3" w:themeShade="80"/>
          <w:sz w:val="24"/>
          <w:szCs w:val="24"/>
        </w:rPr>
        <w:t xml:space="preserve">, </w:t>
      </w:r>
      <w:r w:rsidR="005E0B45" w:rsidRPr="001D3810">
        <w:rPr>
          <w:sz w:val="24"/>
          <w:szCs w:val="24"/>
        </w:rPr>
        <w:t>y que no solo no aparecen signos de que esta dinámica vaya a cambiar, sino que</w:t>
      </w:r>
      <w:r w:rsidR="00E53806" w:rsidRPr="001D3810">
        <w:rPr>
          <w:sz w:val="24"/>
          <w:szCs w:val="24"/>
        </w:rPr>
        <w:t>,</w:t>
      </w:r>
      <w:r w:rsidR="005E0B45" w:rsidRPr="001D3810">
        <w:rPr>
          <w:sz w:val="24"/>
          <w:szCs w:val="24"/>
        </w:rPr>
        <w:t xml:space="preserve"> por el contrario</w:t>
      </w:r>
      <w:r w:rsidR="00E53806" w:rsidRPr="001D3810">
        <w:rPr>
          <w:sz w:val="24"/>
          <w:szCs w:val="24"/>
        </w:rPr>
        <w:t>,</w:t>
      </w:r>
      <w:r w:rsidR="005E0B45" w:rsidRPr="001D3810">
        <w:rPr>
          <w:sz w:val="24"/>
          <w:szCs w:val="24"/>
        </w:rPr>
        <w:t xml:space="preserve"> apunta a una consolidación de estas prácticas precarizadoras y desestructuradoras del mercado de trabajo, que amenazan con pervertir y devaluar el propio concepto de trabajo. </w:t>
      </w:r>
    </w:p>
    <w:p w:rsidR="0001259F" w:rsidRPr="001D3810" w:rsidRDefault="0001259F" w:rsidP="007C6E3A">
      <w:pPr>
        <w:spacing w:after="0" w:line="240" w:lineRule="auto"/>
        <w:jc w:val="both"/>
        <w:rPr>
          <w:sz w:val="24"/>
          <w:szCs w:val="24"/>
        </w:rPr>
      </w:pPr>
    </w:p>
    <w:p w:rsidR="0091464D" w:rsidRPr="001D3810" w:rsidRDefault="0091464D" w:rsidP="0091464D">
      <w:pPr>
        <w:spacing w:after="0" w:line="240" w:lineRule="auto"/>
        <w:jc w:val="both"/>
        <w:rPr>
          <w:sz w:val="24"/>
          <w:szCs w:val="24"/>
        </w:rPr>
      </w:pPr>
      <w:r w:rsidRPr="001D3810">
        <w:rPr>
          <w:sz w:val="24"/>
          <w:szCs w:val="24"/>
        </w:rPr>
        <w:t xml:space="preserve">En el mes de marzo del pasado año el Gobierno abrió una </w:t>
      </w:r>
      <w:r w:rsidRPr="004D1331">
        <w:rPr>
          <w:b/>
          <w:color w:val="4F6228" w:themeColor="accent3" w:themeShade="80"/>
          <w:sz w:val="24"/>
          <w:szCs w:val="24"/>
        </w:rPr>
        <w:t>mesa de diálogo social sobre “</w:t>
      </w:r>
      <w:r w:rsidRPr="004D1331">
        <w:rPr>
          <w:b/>
          <w:i/>
          <w:color w:val="4F6228" w:themeColor="accent3" w:themeShade="80"/>
          <w:sz w:val="24"/>
          <w:szCs w:val="24"/>
        </w:rPr>
        <w:t>calidad del empleo</w:t>
      </w:r>
      <w:r w:rsidRPr="004D1331">
        <w:rPr>
          <w:b/>
          <w:color w:val="4F6228" w:themeColor="accent3" w:themeShade="80"/>
          <w:sz w:val="24"/>
          <w:szCs w:val="24"/>
        </w:rPr>
        <w:t>”</w:t>
      </w:r>
      <w:r w:rsidRPr="004D1331">
        <w:rPr>
          <w:color w:val="4F6228" w:themeColor="accent3" w:themeShade="80"/>
          <w:sz w:val="24"/>
          <w:szCs w:val="24"/>
        </w:rPr>
        <w:t xml:space="preserve">, </w:t>
      </w:r>
      <w:r w:rsidRPr="001D3810">
        <w:rPr>
          <w:sz w:val="24"/>
          <w:szCs w:val="24"/>
        </w:rPr>
        <w:t xml:space="preserve">cuyos avances hasta la fecha han sido muy escasos. Tanto el Gobierno como los interlocutores sociales han expuesto sus propuestas para atajar la precariedad laboral y, en especial, la temporalidad y rotación en el empleo, que se encuentran muy distantes tanto en el diagnóstico como en las medidas concretas planteadas. </w:t>
      </w:r>
    </w:p>
    <w:p w:rsidR="0091464D" w:rsidRPr="001D3810" w:rsidRDefault="0091464D" w:rsidP="0091464D">
      <w:pPr>
        <w:spacing w:after="0" w:line="240" w:lineRule="auto"/>
        <w:jc w:val="both"/>
        <w:rPr>
          <w:sz w:val="24"/>
          <w:szCs w:val="24"/>
        </w:rPr>
      </w:pPr>
    </w:p>
    <w:p w:rsidR="0091464D" w:rsidRPr="001D3810" w:rsidRDefault="0091464D" w:rsidP="0091464D">
      <w:pPr>
        <w:spacing w:after="0" w:line="240" w:lineRule="auto"/>
        <w:jc w:val="both"/>
        <w:rPr>
          <w:sz w:val="24"/>
          <w:szCs w:val="24"/>
        </w:rPr>
      </w:pPr>
      <w:r w:rsidRPr="001D3810">
        <w:rPr>
          <w:sz w:val="24"/>
          <w:szCs w:val="24"/>
        </w:rPr>
        <w:t xml:space="preserve">Los datos muestran cómo el diferencial de temporalidad en el empleo que mantiene España respecto de la media europea desde hace tres décadas no responde (o no esencialmente) ni a las particularidades de la estructura productiva, ni a un exceso de estacionalidad de las actividades, ni al tamaño del tejido empresarial, ni a una inadecuada regulación contractual, ni tampoco a diferencias en los costes del despido. Se trata, básicamente, de una situación de permisividad y tolerancia con el elevado nivel de fraude en la contratación existente, y en la ausencia de incentivos eficaces para cambiar ese comportamiento patológico. </w:t>
      </w:r>
    </w:p>
    <w:p w:rsidR="0091464D" w:rsidRPr="001D3810" w:rsidRDefault="0091464D" w:rsidP="0091464D">
      <w:pPr>
        <w:spacing w:after="0" w:line="240" w:lineRule="auto"/>
        <w:jc w:val="both"/>
        <w:rPr>
          <w:sz w:val="24"/>
          <w:szCs w:val="24"/>
        </w:rPr>
      </w:pPr>
    </w:p>
    <w:p w:rsidR="0091464D" w:rsidRPr="004D1331" w:rsidRDefault="0091464D" w:rsidP="0091464D">
      <w:pPr>
        <w:spacing w:after="0" w:line="240" w:lineRule="auto"/>
        <w:jc w:val="both"/>
        <w:rPr>
          <w:color w:val="4F6228" w:themeColor="accent3" w:themeShade="80"/>
          <w:sz w:val="24"/>
          <w:szCs w:val="24"/>
        </w:rPr>
      </w:pPr>
      <w:r w:rsidRPr="004D1331">
        <w:rPr>
          <w:b/>
          <w:color w:val="4F6228" w:themeColor="accent3" w:themeShade="80"/>
          <w:sz w:val="24"/>
          <w:szCs w:val="24"/>
        </w:rPr>
        <w:t xml:space="preserve">Por eso UGT y CCOO hemos presentado un documento conjunto con nuestras propuestas en la materia, que tiene una línea argumental y estratégica </w:t>
      </w:r>
      <w:r w:rsidR="00994107" w:rsidRPr="004D1331">
        <w:rPr>
          <w:b/>
          <w:color w:val="4F6228" w:themeColor="accent3" w:themeShade="80"/>
          <w:sz w:val="24"/>
          <w:szCs w:val="24"/>
        </w:rPr>
        <w:t>básica: la</w:t>
      </w:r>
      <w:r w:rsidRPr="004D1331">
        <w:rPr>
          <w:b/>
          <w:color w:val="4F6228" w:themeColor="accent3" w:themeShade="80"/>
          <w:sz w:val="24"/>
          <w:szCs w:val="24"/>
        </w:rPr>
        <w:t xml:space="preserve"> temporalidad se explica esencialmente por el elevado fraude existente en la contratación, por lo que cualquier estrategia eficaz para reducirla debe pasar por atajar ese extenso fraude</w:t>
      </w:r>
      <w:r w:rsidRPr="004D1331">
        <w:rPr>
          <w:color w:val="4F6228" w:themeColor="accent3" w:themeShade="80"/>
          <w:sz w:val="24"/>
          <w:szCs w:val="24"/>
        </w:rPr>
        <w:t xml:space="preserve">. </w:t>
      </w:r>
    </w:p>
    <w:p w:rsidR="0091464D" w:rsidRPr="001D3810" w:rsidRDefault="0091464D" w:rsidP="0091464D">
      <w:pPr>
        <w:spacing w:after="0" w:line="240" w:lineRule="auto"/>
        <w:jc w:val="both"/>
        <w:rPr>
          <w:sz w:val="24"/>
          <w:szCs w:val="24"/>
        </w:rPr>
      </w:pPr>
    </w:p>
    <w:p w:rsidR="0091464D" w:rsidRPr="004D1331" w:rsidRDefault="0091464D" w:rsidP="0091464D">
      <w:pPr>
        <w:spacing w:after="0" w:line="240" w:lineRule="auto"/>
        <w:jc w:val="both"/>
        <w:rPr>
          <w:color w:val="4F6228" w:themeColor="accent3" w:themeShade="80"/>
          <w:sz w:val="24"/>
          <w:szCs w:val="24"/>
        </w:rPr>
      </w:pPr>
      <w:r w:rsidRPr="001D3810">
        <w:rPr>
          <w:sz w:val="24"/>
          <w:szCs w:val="24"/>
        </w:rPr>
        <w:t xml:space="preserve">En este sentido, hemos propuesto las siguientes </w:t>
      </w:r>
      <w:r w:rsidRPr="004D1331">
        <w:rPr>
          <w:b/>
          <w:color w:val="4F6228" w:themeColor="accent3" w:themeShade="80"/>
          <w:sz w:val="24"/>
          <w:szCs w:val="24"/>
        </w:rPr>
        <w:t>actuaciones</w:t>
      </w:r>
      <w:r w:rsidRPr="004D1331">
        <w:rPr>
          <w:color w:val="4F6228" w:themeColor="accent3" w:themeShade="80"/>
          <w:sz w:val="24"/>
          <w:szCs w:val="24"/>
          <w:vertAlign w:val="superscript"/>
        </w:rPr>
        <w:footnoteReference w:id="10"/>
      </w:r>
      <w:r w:rsidRPr="004D1331">
        <w:rPr>
          <w:b/>
          <w:color w:val="4F6228" w:themeColor="accent3" w:themeShade="80"/>
          <w:sz w:val="24"/>
          <w:szCs w:val="24"/>
        </w:rPr>
        <w:t>para reducir las tasas de temporalidad hacia el promedio europeo</w:t>
      </w:r>
      <w:r w:rsidRPr="004D1331">
        <w:rPr>
          <w:color w:val="4F6228" w:themeColor="accent3" w:themeShade="80"/>
          <w:sz w:val="24"/>
          <w:szCs w:val="24"/>
        </w:rPr>
        <w:t>:</w:t>
      </w:r>
    </w:p>
    <w:p w:rsidR="0091464D" w:rsidRPr="004D1331" w:rsidRDefault="0091464D" w:rsidP="0091464D">
      <w:pPr>
        <w:spacing w:after="0" w:line="240" w:lineRule="auto"/>
        <w:jc w:val="both"/>
        <w:rPr>
          <w:color w:val="4F6228" w:themeColor="accent3" w:themeShade="80"/>
          <w:sz w:val="24"/>
          <w:szCs w:val="24"/>
        </w:rPr>
      </w:pPr>
    </w:p>
    <w:p w:rsidR="0091464D" w:rsidRPr="001D3810" w:rsidRDefault="0091464D" w:rsidP="0091464D">
      <w:pPr>
        <w:numPr>
          <w:ilvl w:val="0"/>
          <w:numId w:val="25"/>
        </w:numPr>
        <w:tabs>
          <w:tab w:val="left" w:pos="284"/>
        </w:tabs>
        <w:spacing w:after="0" w:line="240" w:lineRule="auto"/>
        <w:ind w:left="284" w:hanging="284"/>
        <w:jc w:val="both"/>
        <w:rPr>
          <w:rFonts w:cstheme="minorHAnsi"/>
          <w:sz w:val="24"/>
          <w:szCs w:val="24"/>
        </w:rPr>
      </w:pPr>
      <w:r w:rsidRPr="004D1331">
        <w:rPr>
          <w:b/>
          <w:color w:val="4F6228" w:themeColor="accent3" w:themeShade="80"/>
          <w:sz w:val="24"/>
          <w:szCs w:val="24"/>
        </w:rPr>
        <w:t>Clarificar mucho más en la norma legal</w:t>
      </w:r>
      <w:r w:rsidRPr="001D3810">
        <w:rPr>
          <w:sz w:val="24"/>
          <w:szCs w:val="24"/>
        </w:rPr>
        <w:t xml:space="preserve"> qué es y qué no empleo temporal susceptible de utilización de contratos temporales. T</w:t>
      </w:r>
      <w:r w:rsidRPr="001D3810">
        <w:rPr>
          <w:rFonts w:cstheme="minorHAnsi"/>
          <w:sz w:val="24"/>
          <w:szCs w:val="24"/>
        </w:rPr>
        <w:t>odo contrato temporal ajeno a las mismas debería ser objeto de penalización y sanción por contratación fraudulenta. En concreto:</w:t>
      </w:r>
    </w:p>
    <w:p w:rsidR="0091464D" w:rsidRPr="001D3810" w:rsidRDefault="0091464D" w:rsidP="0091464D">
      <w:pPr>
        <w:tabs>
          <w:tab w:val="left" w:pos="284"/>
        </w:tabs>
        <w:spacing w:after="0" w:line="240" w:lineRule="auto"/>
        <w:jc w:val="both"/>
        <w:rPr>
          <w:rFonts w:eastAsia="Times New Roman" w:cstheme="minorHAnsi"/>
          <w:sz w:val="24"/>
          <w:szCs w:val="24"/>
          <w:lang w:eastAsia="es-ES"/>
        </w:rPr>
      </w:pPr>
    </w:p>
    <w:p w:rsidR="0091464D" w:rsidRPr="001D3810" w:rsidRDefault="0091464D" w:rsidP="0091464D">
      <w:pPr>
        <w:numPr>
          <w:ilvl w:val="1"/>
          <w:numId w:val="27"/>
        </w:numPr>
        <w:tabs>
          <w:tab w:val="left" w:pos="284"/>
        </w:tabs>
        <w:spacing w:after="0" w:line="240" w:lineRule="auto"/>
        <w:ind w:left="567" w:hanging="283"/>
        <w:jc w:val="both"/>
        <w:rPr>
          <w:sz w:val="24"/>
          <w:szCs w:val="24"/>
        </w:rPr>
      </w:pPr>
      <w:r w:rsidRPr="001D3810">
        <w:rPr>
          <w:sz w:val="24"/>
          <w:szCs w:val="24"/>
        </w:rPr>
        <w:lastRenderedPageBreak/>
        <w:t xml:space="preserve">La estacionalidad (que por definición </w:t>
      </w:r>
      <w:r w:rsidRPr="004D1331">
        <w:rPr>
          <w:b/>
          <w:color w:val="4F6228" w:themeColor="accent3" w:themeShade="80"/>
          <w:sz w:val="24"/>
          <w:szCs w:val="24"/>
        </w:rPr>
        <w:t>no</w:t>
      </w:r>
      <w:r w:rsidRPr="001D3810">
        <w:rPr>
          <w:sz w:val="24"/>
          <w:szCs w:val="24"/>
        </w:rPr>
        <w:t xml:space="preserve"> es temporalidad) solo debe ser cubierta con contratos fijos discontinuos.</w:t>
      </w:r>
    </w:p>
    <w:p w:rsidR="0091464D" w:rsidRPr="001D3810" w:rsidRDefault="0091464D" w:rsidP="0091464D">
      <w:pPr>
        <w:numPr>
          <w:ilvl w:val="1"/>
          <w:numId w:val="27"/>
        </w:numPr>
        <w:tabs>
          <w:tab w:val="left" w:pos="284"/>
        </w:tabs>
        <w:spacing w:after="0" w:line="240" w:lineRule="auto"/>
        <w:ind w:left="567" w:hanging="283"/>
        <w:jc w:val="both"/>
        <w:rPr>
          <w:sz w:val="24"/>
          <w:szCs w:val="24"/>
        </w:rPr>
      </w:pPr>
      <w:r w:rsidRPr="001D3810">
        <w:rPr>
          <w:sz w:val="24"/>
          <w:szCs w:val="24"/>
        </w:rPr>
        <w:t>La actividad propia de la empresa no puede ser objeto de contratación temporal.</w:t>
      </w:r>
    </w:p>
    <w:p w:rsidR="0091464D" w:rsidRPr="001D3810" w:rsidRDefault="0091464D" w:rsidP="0091464D">
      <w:pPr>
        <w:numPr>
          <w:ilvl w:val="1"/>
          <w:numId w:val="27"/>
        </w:numPr>
        <w:tabs>
          <w:tab w:val="left" w:pos="284"/>
        </w:tabs>
        <w:spacing w:after="0" w:line="240" w:lineRule="auto"/>
        <w:ind w:left="567" w:hanging="283"/>
        <w:jc w:val="both"/>
        <w:rPr>
          <w:sz w:val="24"/>
          <w:szCs w:val="24"/>
        </w:rPr>
      </w:pPr>
      <w:r w:rsidRPr="001D3810">
        <w:rPr>
          <w:sz w:val="24"/>
          <w:szCs w:val="24"/>
        </w:rPr>
        <w:t>La subcontratación no debería ser causa válida de contratación temporal.</w:t>
      </w:r>
    </w:p>
    <w:p w:rsidR="0091464D" w:rsidRPr="001D3810" w:rsidRDefault="0091464D" w:rsidP="0091464D">
      <w:pPr>
        <w:tabs>
          <w:tab w:val="left" w:pos="284"/>
        </w:tabs>
        <w:spacing w:after="0" w:line="240" w:lineRule="auto"/>
        <w:jc w:val="both"/>
        <w:rPr>
          <w:rFonts w:eastAsia="Times New Roman" w:cs="Times New Roman"/>
          <w:sz w:val="24"/>
          <w:szCs w:val="24"/>
          <w:lang w:eastAsia="es-ES"/>
        </w:rPr>
      </w:pPr>
    </w:p>
    <w:p w:rsidR="0091464D" w:rsidRPr="001D3810" w:rsidRDefault="0091464D" w:rsidP="0091464D">
      <w:pPr>
        <w:numPr>
          <w:ilvl w:val="0"/>
          <w:numId w:val="25"/>
        </w:numPr>
        <w:spacing w:after="0" w:line="240" w:lineRule="auto"/>
        <w:jc w:val="both"/>
        <w:rPr>
          <w:rFonts w:cstheme="minorHAnsi"/>
          <w:sz w:val="24"/>
          <w:szCs w:val="24"/>
        </w:rPr>
      </w:pPr>
      <w:r w:rsidRPr="004D1331">
        <w:rPr>
          <w:b/>
          <w:color w:val="4F6228" w:themeColor="accent3" w:themeShade="80"/>
          <w:sz w:val="24"/>
          <w:szCs w:val="24"/>
        </w:rPr>
        <w:t>Eliminar los actuales incentivos al fraude en la utilización de los contratos temporales.</w:t>
      </w:r>
      <w:r w:rsidRPr="001D3810">
        <w:rPr>
          <w:b/>
          <w:sz w:val="24"/>
          <w:szCs w:val="24"/>
        </w:rPr>
        <w:t xml:space="preserve"> </w:t>
      </w:r>
      <w:r w:rsidRPr="001D3810">
        <w:rPr>
          <w:rFonts w:cstheme="minorHAnsi"/>
          <w:sz w:val="24"/>
          <w:szCs w:val="24"/>
        </w:rPr>
        <w:t xml:space="preserve">Las actuales consecuencias económicas que entraña para los empresarios la demostración y comprobación del fraude son débiles y en absoluto disuasorias: </w:t>
      </w:r>
    </w:p>
    <w:p w:rsidR="0091464D" w:rsidRPr="001D3810" w:rsidRDefault="0091464D" w:rsidP="0091464D">
      <w:pPr>
        <w:spacing w:after="0" w:line="240" w:lineRule="auto"/>
        <w:jc w:val="both"/>
        <w:rPr>
          <w:rFonts w:eastAsia="Times New Roman" w:cstheme="minorHAnsi"/>
          <w:sz w:val="24"/>
          <w:szCs w:val="24"/>
          <w:lang w:eastAsia="es-ES"/>
        </w:rPr>
      </w:pPr>
    </w:p>
    <w:p w:rsidR="0091464D" w:rsidRPr="001D3810" w:rsidRDefault="0091464D" w:rsidP="0091464D">
      <w:pPr>
        <w:numPr>
          <w:ilvl w:val="1"/>
          <w:numId w:val="27"/>
        </w:numPr>
        <w:tabs>
          <w:tab w:val="left" w:pos="284"/>
        </w:tabs>
        <w:spacing w:after="0" w:line="240" w:lineRule="auto"/>
        <w:ind w:left="567" w:hanging="283"/>
        <w:jc w:val="both"/>
        <w:rPr>
          <w:rFonts w:cstheme="minorHAnsi"/>
        </w:rPr>
      </w:pPr>
      <w:r w:rsidRPr="001D3810">
        <w:rPr>
          <w:sz w:val="24"/>
          <w:szCs w:val="24"/>
        </w:rPr>
        <w:t>La sanción judicial en caso de fraude en un contrato temporal equivale solamente a las</w:t>
      </w:r>
      <w:r w:rsidRPr="001D3810">
        <w:rPr>
          <w:rFonts w:cstheme="minorHAnsi"/>
          <w:sz w:val="24"/>
          <w:szCs w:val="24"/>
        </w:rPr>
        <w:t xml:space="preserve"> mismas consecuencias que si se hubiera realizado, como debía haber sido, un contrato indefinido</w:t>
      </w:r>
      <w:r w:rsidRPr="001D3810">
        <w:rPr>
          <w:rFonts w:cstheme="minorHAnsi"/>
        </w:rPr>
        <w:t>.</w:t>
      </w:r>
    </w:p>
    <w:p w:rsidR="0091464D" w:rsidRPr="001D3810" w:rsidRDefault="0091464D" w:rsidP="0091464D">
      <w:pPr>
        <w:numPr>
          <w:ilvl w:val="1"/>
          <w:numId w:val="27"/>
        </w:numPr>
        <w:tabs>
          <w:tab w:val="left" w:pos="284"/>
        </w:tabs>
        <w:spacing w:after="0" w:line="240" w:lineRule="auto"/>
        <w:ind w:left="567" w:hanging="283"/>
        <w:jc w:val="both"/>
        <w:rPr>
          <w:rFonts w:cstheme="minorHAnsi"/>
          <w:sz w:val="24"/>
          <w:szCs w:val="24"/>
        </w:rPr>
      </w:pPr>
      <w:r w:rsidRPr="001D3810">
        <w:rPr>
          <w:rFonts w:cstheme="minorHAnsi"/>
        </w:rPr>
        <w:t>E</w:t>
      </w:r>
      <w:r w:rsidRPr="001D3810">
        <w:rPr>
          <w:rFonts w:cstheme="minorHAnsi"/>
          <w:sz w:val="24"/>
          <w:szCs w:val="24"/>
        </w:rPr>
        <w:t xml:space="preserve">l módulo de cálculo de las indemnizaciones en caso de fraude, al estar establecido en función de la duración del contrato, hace que los importes de esas indemnizaciones sean </w:t>
      </w:r>
      <w:r w:rsidRPr="001D3810">
        <w:rPr>
          <w:rFonts w:cstheme="minorHAnsi"/>
        </w:rPr>
        <w:t>tan</w:t>
      </w:r>
      <w:r w:rsidRPr="001D3810">
        <w:rPr>
          <w:rFonts w:cstheme="minorHAnsi"/>
          <w:sz w:val="24"/>
          <w:szCs w:val="24"/>
        </w:rPr>
        <w:t xml:space="preserve"> bajos que desestimulan las demandas judiciales de los trabajadores.</w:t>
      </w:r>
    </w:p>
    <w:p w:rsidR="0091464D" w:rsidRPr="001D3810" w:rsidRDefault="0091464D" w:rsidP="0091464D">
      <w:pPr>
        <w:numPr>
          <w:ilvl w:val="1"/>
          <w:numId w:val="27"/>
        </w:numPr>
        <w:tabs>
          <w:tab w:val="left" w:pos="284"/>
        </w:tabs>
        <w:spacing w:after="0" w:line="240" w:lineRule="auto"/>
        <w:ind w:left="567" w:hanging="283"/>
        <w:jc w:val="both"/>
        <w:rPr>
          <w:rFonts w:cstheme="minorHAnsi"/>
        </w:rPr>
      </w:pPr>
      <w:r w:rsidRPr="001D3810">
        <w:rPr>
          <w:rFonts w:cstheme="minorHAnsi"/>
        </w:rPr>
        <w:t>L</w:t>
      </w:r>
      <w:r w:rsidRPr="001D3810">
        <w:rPr>
          <w:rFonts w:cstheme="minorHAnsi"/>
          <w:sz w:val="24"/>
          <w:szCs w:val="24"/>
        </w:rPr>
        <w:t>as sanciones administrativas son increíblemente reducidas (600 euros por el conjunto de los contratos temporales en fraude, lo mismo si se trata de uno o centenares de contratos</w:t>
      </w:r>
      <w:r w:rsidRPr="001D3810">
        <w:rPr>
          <w:rFonts w:cstheme="minorHAnsi"/>
        </w:rPr>
        <w:t>)</w:t>
      </w:r>
    </w:p>
    <w:p w:rsidR="0091464D" w:rsidRPr="001D3810" w:rsidRDefault="0091464D" w:rsidP="0091464D">
      <w:pPr>
        <w:numPr>
          <w:ilvl w:val="1"/>
          <w:numId w:val="27"/>
        </w:numPr>
        <w:tabs>
          <w:tab w:val="left" w:pos="284"/>
        </w:tabs>
        <w:spacing w:after="0" w:line="240" w:lineRule="auto"/>
        <w:ind w:left="567" w:hanging="283"/>
        <w:jc w:val="both"/>
        <w:rPr>
          <w:rFonts w:cstheme="minorHAnsi"/>
          <w:sz w:val="24"/>
          <w:szCs w:val="24"/>
        </w:rPr>
      </w:pPr>
      <w:r w:rsidRPr="001D3810">
        <w:rPr>
          <w:rFonts w:cstheme="minorHAnsi"/>
        </w:rPr>
        <w:t>L</w:t>
      </w:r>
      <w:r w:rsidRPr="001D3810">
        <w:rPr>
          <w:rFonts w:cstheme="minorHAnsi"/>
          <w:sz w:val="24"/>
          <w:szCs w:val="24"/>
        </w:rPr>
        <w:t>a probabilidad de que una empresa sea descubierta y sancionada por la ITSS por realizar fraude en la contratación temporal es bajísima</w:t>
      </w:r>
      <w:r w:rsidRPr="001D3810">
        <w:rPr>
          <w:rFonts w:cstheme="minorHAnsi"/>
        </w:rPr>
        <w:t>,</w:t>
      </w:r>
      <w:r w:rsidRPr="001D3810">
        <w:rPr>
          <w:rFonts w:cstheme="minorHAnsi"/>
          <w:sz w:val="24"/>
          <w:szCs w:val="24"/>
        </w:rPr>
        <w:t xml:space="preserve"> por la insuficiencia de medios de la ITSS, </w:t>
      </w:r>
      <w:r w:rsidRPr="001D3810">
        <w:rPr>
          <w:rFonts w:cstheme="minorHAnsi"/>
        </w:rPr>
        <w:t xml:space="preserve">por </w:t>
      </w:r>
      <w:r w:rsidRPr="001D3810">
        <w:rPr>
          <w:rFonts w:cstheme="minorHAnsi"/>
          <w:sz w:val="24"/>
          <w:szCs w:val="24"/>
        </w:rPr>
        <w:t xml:space="preserve">el gigantesco volumen de contratos temporales que se realizan cada año, y </w:t>
      </w:r>
      <w:r w:rsidRPr="001D3810">
        <w:rPr>
          <w:rFonts w:cstheme="minorHAnsi"/>
        </w:rPr>
        <w:t xml:space="preserve">por </w:t>
      </w:r>
      <w:r w:rsidRPr="001D3810">
        <w:rPr>
          <w:rFonts w:cstheme="minorHAnsi"/>
          <w:sz w:val="24"/>
          <w:szCs w:val="24"/>
        </w:rPr>
        <w:t>la falta de incentivos para los inspectores.</w:t>
      </w:r>
    </w:p>
    <w:p w:rsidR="0091464D" w:rsidRPr="001D3810" w:rsidRDefault="0091464D" w:rsidP="0091464D">
      <w:pPr>
        <w:spacing w:after="0" w:line="240" w:lineRule="auto"/>
        <w:ind w:left="360"/>
        <w:jc w:val="both"/>
        <w:rPr>
          <w:rFonts w:eastAsia="Times New Roman" w:cstheme="minorHAnsi"/>
          <w:sz w:val="24"/>
          <w:szCs w:val="24"/>
          <w:lang w:eastAsia="es-ES"/>
        </w:rPr>
      </w:pPr>
    </w:p>
    <w:p w:rsidR="0091464D" w:rsidRPr="001D3810" w:rsidRDefault="0091464D" w:rsidP="0091464D">
      <w:pPr>
        <w:spacing w:after="0" w:line="240" w:lineRule="auto"/>
        <w:ind w:left="360"/>
        <w:jc w:val="both"/>
        <w:rPr>
          <w:rFonts w:eastAsia="Times New Roman" w:cstheme="minorHAnsi"/>
          <w:sz w:val="24"/>
          <w:szCs w:val="24"/>
          <w:lang w:eastAsia="es-ES"/>
        </w:rPr>
      </w:pPr>
      <w:r w:rsidRPr="001D3810">
        <w:rPr>
          <w:rFonts w:eastAsia="Times New Roman" w:cstheme="minorHAnsi"/>
          <w:sz w:val="24"/>
          <w:szCs w:val="24"/>
          <w:lang w:eastAsia="es-ES"/>
        </w:rPr>
        <w:t>Por eso, se deberían adoptar medidas verdaderamente disuasorias contra el fraude en la contratación temporal:</w:t>
      </w:r>
    </w:p>
    <w:p w:rsidR="0091464D" w:rsidRPr="001D3810" w:rsidRDefault="0091464D" w:rsidP="0091464D">
      <w:pPr>
        <w:spacing w:after="0" w:line="240" w:lineRule="auto"/>
        <w:ind w:left="360"/>
        <w:jc w:val="both"/>
        <w:rPr>
          <w:rFonts w:eastAsia="Times New Roman" w:cstheme="minorHAnsi"/>
          <w:sz w:val="24"/>
          <w:szCs w:val="24"/>
          <w:lang w:eastAsia="es-ES"/>
        </w:rPr>
      </w:pPr>
    </w:p>
    <w:p w:rsidR="0091464D" w:rsidRPr="001D3810" w:rsidRDefault="0091464D" w:rsidP="0091464D">
      <w:pPr>
        <w:numPr>
          <w:ilvl w:val="1"/>
          <w:numId w:val="27"/>
        </w:numPr>
        <w:tabs>
          <w:tab w:val="left" w:pos="284"/>
        </w:tabs>
        <w:spacing w:after="0" w:line="240" w:lineRule="auto"/>
        <w:ind w:left="567" w:hanging="283"/>
        <w:jc w:val="both"/>
        <w:rPr>
          <w:rFonts w:cstheme="minorHAnsi"/>
          <w:sz w:val="24"/>
        </w:rPr>
      </w:pPr>
      <w:r w:rsidRPr="004D1331">
        <w:rPr>
          <w:rFonts w:cstheme="minorHAnsi"/>
          <w:b/>
          <w:color w:val="4F6228" w:themeColor="accent3" w:themeShade="80"/>
          <w:sz w:val="24"/>
        </w:rPr>
        <w:t>Establecer una indemnización por fraude que incentive las demandas de los trabajadores</w:t>
      </w:r>
      <w:r w:rsidRPr="001D3810">
        <w:rPr>
          <w:rFonts w:cstheme="minorHAnsi"/>
          <w:sz w:val="24"/>
        </w:rPr>
        <w:t xml:space="preserve"> y que supere el coste para la empresa del despido improcedente en los contratos indefinidos. </w:t>
      </w:r>
    </w:p>
    <w:p w:rsidR="0091464D" w:rsidRPr="001D3810" w:rsidRDefault="0091464D" w:rsidP="0091464D">
      <w:pPr>
        <w:numPr>
          <w:ilvl w:val="1"/>
          <w:numId w:val="27"/>
        </w:numPr>
        <w:tabs>
          <w:tab w:val="left" w:pos="284"/>
        </w:tabs>
        <w:spacing w:after="0" w:line="240" w:lineRule="auto"/>
        <w:ind w:left="567" w:hanging="283"/>
        <w:jc w:val="both"/>
        <w:rPr>
          <w:rFonts w:cstheme="minorHAnsi"/>
          <w:sz w:val="24"/>
        </w:rPr>
      </w:pPr>
      <w:r w:rsidRPr="004D1331">
        <w:rPr>
          <w:rFonts w:cstheme="minorHAnsi"/>
          <w:b/>
          <w:color w:val="4F6228" w:themeColor="accent3" w:themeShade="80"/>
          <w:sz w:val="24"/>
        </w:rPr>
        <w:t>Incrementar las sanciones administrativas</w:t>
      </w:r>
      <w:r w:rsidRPr="001D3810">
        <w:rPr>
          <w:rFonts w:cstheme="minorHAnsi"/>
          <w:sz w:val="24"/>
        </w:rPr>
        <w:t xml:space="preserve"> sustancialmente por encima de la cuantía actual (600 euros) y sobre todo aplicarla a cada uno de los contratos en fraude.</w:t>
      </w:r>
    </w:p>
    <w:p w:rsidR="0091464D" w:rsidRPr="004D1331" w:rsidRDefault="0091464D" w:rsidP="0091464D">
      <w:pPr>
        <w:numPr>
          <w:ilvl w:val="1"/>
          <w:numId w:val="27"/>
        </w:numPr>
        <w:tabs>
          <w:tab w:val="left" w:pos="284"/>
        </w:tabs>
        <w:spacing w:after="0" w:line="240" w:lineRule="auto"/>
        <w:ind w:left="567" w:hanging="283"/>
        <w:jc w:val="both"/>
        <w:rPr>
          <w:rFonts w:cstheme="minorHAnsi"/>
          <w:color w:val="4F6228" w:themeColor="accent3" w:themeShade="80"/>
          <w:sz w:val="24"/>
        </w:rPr>
      </w:pPr>
      <w:r w:rsidRPr="004D1331">
        <w:rPr>
          <w:rFonts w:cstheme="minorHAnsi"/>
          <w:b/>
          <w:color w:val="4F6228" w:themeColor="accent3" w:themeShade="80"/>
          <w:sz w:val="24"/>
        </w:rPr>
        <w:t>Establecer que la sentencia judicial que declara el fraude active el expediente administrativo sancionador</w:t>
      </w:r>
      <w:r w:rsidRPr="004D1331">
        <w:rPr>
          <w:rFonts w:cstheme="minorHAnsi"/>
          <w:color w:val="4F6228" w:themeColor="accent3" w:themeShade="80"/>
          <w:sz w:val="24"/>
        </w:rPr>
        <w:t>.</w:t>
      </w:r>
    </w:p>
    <w:p w:rsidR="0091464D" w:rsidRPr="004D1331" w:rsidRDefault="0091464D" w:rsidP="0091464D">
      <w:pPr>
        <w:numPr>
          <w:ilvl w:val="1"/>
          <w:numId w:val="27"/>
        </w:numPr>
        <w:tabs>
          <w:tab w:val="left" w:pos="284"/>
        </w:tabs>
        <w:spacing w:after="0" w:line="240" w:lineRule="auto"/>
        <w:ind w:left="567" w:hanging="283"/>
        <w:jc w:val="both"/>
        <w:rPr>
          <w:rFonts w:cstheme="minorHAnsi"/>
          <w:b/>
          <w:color w:val="4F6228" w:themeColor="accent3" w:themeShade="80"/>
          <w:sz w:val="24"/>
        </w:rPr>
      </w:pPr>
      <w:r w:rsidRPr="004D1331">
        <w:rPr>
          <w:rFonts w:cstheme="minorHAnsi"/>
          <w:b/>
          <w:color w:val="4F6228" w:themeColor="accent3" w:themeShade="80"/>
          <w:sz w:val="24"/>
        </w:rPr>
        <w:t>Reforzar el papel de la Inspección de trabajo y de Seguridad Social.</w:t>
      </w:r>
    </w:p>
    <w:p w:rsidR="0091464D" w:rsidRPr="001D3810" w:rsidRDefault="0091464D" w:rsidP="0091464D">
      <w:pPr>
        <w:numPr>
          <w:ilvl w:val="1"/>
          <w:numId w:val="27"/>
        </w:numPr>
        <w:tabs>
          <w:tab w:val="left" w:pos="284"/>
        </w:tabs>
        <w:spacing w:after="0" w:line="240" w:lineRule="auto"/>
        <w:ind w:left="567" w:hanging="283"/>
        <w:jc w:val="both"/>
        <w:rPr>
          <w:rFonts w:cstheme="minorHAnsi"/>
          <w:sz w:val="24"/>
        </w:rPr>
      </w:pPr>
      <w:r w:rsidRPr="004D1331">
        <w:rPr>
          <w:rFonts w:cstheme="minorHAnsi"/>
          <w:b/>
          <w:color w:val="4F6228" w:themeColor="accent3" w:themeShade="80"/>
          <w:sz w:val="24"/>
        </w:rPr>
        <w:t>Incrementar significativamente la cotización</w:t>
      </w:r>
      <w:r w:rsidRPr="001D3810">
        <w:rPr>
          <w:rFonts w:cstheme="minorHAnsi"/>
          <w:sz w:val="24"/>
        </w:rPr>
        <w:t xml:space="preserve"> a la Seguridad Social de los contratos temporales de corta duración.</w:t>
      </w:r>
    </w:p>
    <w:p w:rsidR="0091464D" w:rsidRPr="001D3810" w:rsidRDefault="0091464D" w:rsidP="0091464D">
      <w:pPr>
        <w:numPr>
          <w:ilvl w:val="1"/>
          <w:numId w:val="27"/>
        </w:numPr>
        <w:tabs>
          <w:tab w:val="left" w:pos="284"/>
        </w:tabs>
        <w:spacing w:after="0" w:line="240" w:lineRule="auto"/>
        <w:ind w:left="567" w:hanging="283"/>
        <w:jc w:val="both"/>
        <w:rPr>
          <w:rFonts w:cstheme="minorHAnsi"/>
          <w:sz w:val="24"/>
        </w:rPr>
      </w:pPr>
      <w:r w:rsidRPr="004D1331">
        <w:rPr>
          <w:rFonts w:cstheme="minorHAnsi"/>
          <w:b/>
          <w:color w:val="4F6228" w:themeColor="accent3" w:themeShade="80"/>
          <w:sz w:val="24"/>
        </w:rPr>
        <w:t>Garantizar la eficacia de la limitación del encadenamiento de contratos</w:t>
      </w:r>
      <w:r w:rsidRPr="001D3810">
        <w:rPr>
          <w:rFonts w:cstheme="minorHAnsi"/>
          <w:sz w:val="24"/>
        </w:rPr>
        <w:t xml:space="preserve"> sobre la misma persona trabajadora y prohibir el encadenamiento respecto a un mismo puesto de trabajo.</w:t>
      </w:r>
    </w:p>
    <w:p w:rsidR="0091464D" w:rsidRPr="001D3810" w:rsidRDefault="0091464D" w:rsidP="0091464D">
      <w:pPr>
        <w:tabs>
          <w:tab w:val="left" w:pos="284"/>
        </w:tabs>
        <w:spacing w:after="0" w:line="240" w:lineRule="auto"/>
        <w:ind w:left="284"/>
        <w:jc w:val="both"/>
        <w:rPr>
          <w:rFonts w:ascii="Arial Narrow" w:eastAsia="Times New Roman" w:hAnsi="Arial Narrow" w:cstheme="minorHAnsi"/>
          <w:sz w:val="24"/>
          <w:szCs w:val="24"/>
          <w:lang w:eastAsia="es-ES"/>
        </w:rPr>
      </w:pPr>
    </w:p>
    <w:p w:rsidR="0091464D" w:rsidRPr="004D1331" w:rsidRDefault="0091464D" w:rsidP="0091464D">
      <w:pPr>
        <w:numPr>
          <w:ilvl w:val="0"/>
          <w:numId w:val="25"/>
        </w:numPr>
        <w:spacing w:after="0" w:line="240" w:lineRule="auto"/>
        <w:jc w:val="both"/>
        <w:rPr>
          <w:color w:val="4F6228" w:themeColor="accent3" w:themeShade="80"/>
          <w:sz w:val="24"/>
          <w:szCs w:val="24"/>
        </w:rPr>
      </w:pPr>
      <w:r w:rsidRPr="004D1331">
        <w:rPr>
          <w:b/>
          <w:color w:val="4F6228" w:themeColor="accent3" w:themeShade="80"/>
          <w:sz w:val="24"/>
          <w:szCs w:val="24"/>
        </w:rPr>
        <w:t>Eliminar el contrato indefinido de apoyo a los emprendedores.</w:t>
      </w:r>
    </w:p>
    <w:p w:rsidR="0091464D" w:rsidRPr="004D1331" w:rsidRDefault="0091464D" w:rsidP="0091464D">
      <w:pPr>
        <w:spacing w:after="0" w:line="240" w:lineRule="auto"/>
        <w:jc w:val="both"/>
        <w:rPr>
          <w:rFonts w:ascii="Arial Narrow" w:eastAsia="Times New Roman" w:hAnsi="Arial Narrow" w:cs="Times New Roman"/>
          <w:color w:val="4F6228" w:themeColor="accent3" w:themeShade="80"/>
          <w:sz w:val="24"/>
          <w:szCs w:val="24"/>
          <w:lang w:eastAsia="es-ES"/>
        </w:rPr>
      </w:pPr>
    </w:p>
    <w:p w:rsidR="0091464D" w:rsidRPr="004D1331" w:rsidRDefault="0091464D" w:rsidP="0091464D">
      <w:pPr>
        <w:numPr>
          <w:ilvl w:val="0"/>
          <w:numId w:val="25"/>
        </w:numPr>
        <w:spacing w:after="0" w:line="240" w:lineRule="auto"/>
        <w:jc w:val="both"/>
        <w:rPr>
          <w:color w:val="4F6228" w:themeColor="accent3" w:themeShade="80"/>
          <w:sz w:val="24"/>
          <w:szCs w:val="24"/>
        </w:rPr>
      </w:pPr>
      <w:r w:rsidRPr="004D1331">
        <w:rPr>
          <w:b/>
          <w:color w:val="4F6228" w:themeColor="accent3" w:themeShade="80"/>
          <w:sz w:val="24"/>
          <w:szCs w:val="24"/>
        </w:rPr>
        <w:t>Eliminar el contrato de primer empleo joven, que no responde a la naturaleza temporal del trabajo a realizar</w:t>
      </w:r>
      <w:r w:rsidRPr="004D1331">
        <w:rPr>
          <w:color w:val="4F6228" w:themeColor="accent3" w:themeShade="80"/>
          <w:sz w:val="24"/>
          <w:szCs w:val="24"/>
        </w:rPr>
        <w:t>.</w:t>
      </w:r>
    </w:p>
    <w:p w:rsidR="0091464D" w:rsidRPr="004D1331" w:rsidRDefault="0091464D" w:rsidP="0091464D">
      <w:pPr>
        <w:spacing w:after="0" w:line="252" w:lineRule="auto"/>
        <w:jc w:val="both"/>
        <w:rPr>
          <w:rFonts w:ascii="Arial Narrow" w:eastAsia="Times New Roman" w:hAnsi="Arial Narrow" w:cs="Times New Roman"/>
          <w:color w:val="4F6228" w:themeColor="accent3" w:themeShade="80"/>
          <w:sz w:val="24"/>
          <w:szCs w:val="24"/>
          <w:lang w:eastAsia="es-ES"/>
        </w:rPr>
      </w:pPr>
    </w:p>
    <w:p w:rsidR="0091464D" w:rsidRPr="004D1331" w:rsidRDefault="0091464D" w:rsidP="0091464D">
      <w:pPr>
        <w:numPr>
          <w:ilvl w:val="0"/>
          <w:numId w:val="25"/>
        </w:numPr>
        <w:spacing w:after="0" w:line="240" w:lineRule="auto"/>
        <w:jc w:val="both"/>
        <w:rPr>
          <w:color w:val="4F6228" w:themeColor="accent3" w:themeShade="80"/>
          <w:sz w:val="24"/>
          <w:szCs w:val="24"/>
        </w:rPr>
      </w:pPr>
      <w:r w:rsidRPr="004D1331">
        <w:rPr>
          <w:b/>
          <w:color w:val="4F6228" w:themeColor="accent3" w:themeShade="80"/>
          <w:sz w:val="24"/>
          <w:szCs w:val="24"/>
        </w:rPr>
        <w:t>Fomentar el uso del contrato relevo para rejuvenecer las plantillas</w:t>
      </w:r>
      <w:r w:rsidRPr="004D1331">
        <w:rPr>
          <w:color w:val="4F6228" w:themeColor="accent3" w:themeShade="80"/>
          <w:sz w:val="24"/>
          <w:szCs w:val="24"/>
        </w:rPr>
        <w:t>.</w:t>
      </w:r>
    </w:p>
    <w:p w:rsidR="0091464D" w:rsidRPr="001D3810" w:rsidRDefault="0091464D" w:rsidP="0091464D">
      <w:pPr>
        <w:spacing w:after="0" w:line="252" w:lineRule="auto"/>
        <w:jc w:val="both"/>
        <w:rPr>
          <w:rFonts w:ascii="Arial Narrow" w:eastAsia="Times New Roman" w:hAnsi="Arial Narrow" w:cs="Times New Roman"/>
          <w:sz w:val="24"/>
          <w:szCs w:val="24"/>
          <w:lang w:eastAsia="es-ES"/>
        </w:rPr>
      </w:pPr>
    </w:p>
    <w:p w:rsidR="0091464D" w:rsidRPr="004D1331" w:rsidRDefault="0091464D" w:rsidP="0091464D">
      <w:pPr>
        <w:numPr>
          <w:ilvl w:val="0"/>
          <w:numId w:val="25"/>
        </w:numPr>
        <w:spacing w:after="0" w:line="240" w:lineRule="auto"/>
        <w:jc w:val="both"/>
        <w:rPr>
          <w:b/>
          <w:color w:val="4F6228" w:themeColor="accent3" w:themeShade="80"/>
          <w:sz w:val="24"/>
          <w:szCs w:val="24"/>
        </w:rPr>
      </w:pPr>
      <w:r w:rsidRPr="004D1331">
        <w:rPr>
          <w:b/>
          <w:color w:val="4F6228" w:themeColor="accent3" w:themeShade="80"/>
          <w:sz w:val="24"/>
          <w:szCs w:val="24"/>
        </w:rPr>
        <w:t>Establecer criterios en los convenios colectivos que determinen la contratación temporal admisible en la empresa.</w:t>
      </w:r>
    </w:p>
    <w:p w:rsidR="0091464D" w:rsidRPr="004D1331" w:rsidRDefault="0091464D" w:rsidP="0091464D">
      <w:pPr>
        <w:spacing w:after="0" w:line="240" w:lineRule="auto"/>
        <w:jc w:val="both"/>
        <w:rPr>
          <w:rFonts w:ascii="Arial Narrow" w:eastAsia="Times New Roman" w:hAnsi="Arial Narrow" w:cs="Times New Roman"/>
          <w:b/>
          <w:color w:val="4F6228" w:themeColor="accent3" w:themeShade="80"/>
          <w:sz w:val="24"/>
          <w:szCs w:val="24"/>
          <w:lang w:eastAsia="es-ES"/>
        </w:rPr>
      </w:pPr>
    </w:p>
    <w:p w:rsidR="0091464D" w:rsidRPr="004D1331" w:rsidRDefault="00BB36D6" w:rsidP="0091464D">
      <w:pPr>
        <w:numPr>
          <w:ilvl w:val="0"/>
          <w:numId w:val="25"/>
        </w:numPr>
        <w:spacing w:after="0" w:line="240" w:lineRule="auto"/>
        <w:jc w:val="both"/>
        <w:rPr>
          <w:b/>
          <w:color w:val="4F6228" w:themeColor="accent3" w:themeShade="80"/>
          <w:sz w:val="24"/>
          <w:szCs w:val="24"/>
        </w:rPr>
      </w:pPr>
      <w:r>
        <w:rPr>
          <w:b/>
          <w:color w:val="4F6228" w:themeColor="accent3" w:themeShade="80"/>
          <w:sz w:val="24"/>
          <w:szCs w:val="24"/>
        </w:rPr>
        <w:t>Elimin</w:t>
      </w:r>
      <w:r w:rsidR="0091464D" w:rsidRPr="004D1331">
        <w:rPr>
          <w:b/>
          <w:color w:val="4F6228" w:themeColor="accent3" w:themeShade="80"/>
          <w:sz w:val="24"/>
          <w:szCs w:val="24"/>
        </w:rPr>
        <w:t>ar la temporalidad injustificada en el ámbito de las Administraciones Públicas.</w:t>
      </w:r>
    </w:p>
    <w:p w:rsidR="0091464D" w:rsidRPr="004D1331" w:rsidRDefault="0091464D" w:rsidP="0091464D">
      <w:pPr>
        <w:spacing w:after="0" w:line="240" w:lineRule="auto"/>
        <w:jc w:val="both"/>
        <w:rPr>
          <w:rFonts w:ascii="Arial Narrow" w:eastAsia="Times New Roman" w:hAnsi="Arial Narrow" w:cs="Times New Roman"/>
          <w:b/>
          <w:color w:val="4F6228" w:themeColor="accent3" w:themeShade="80"/>
          <w:sz w:val="24"/>
          <w:szCs w:val="24"/>
          <w:lang w:eastAsia="es-ES"/>
        </w:rPr>
      </w:pPr>
    </w:p>
    <w:p w:rsidR="0091464D" w:rsidRPr="004D1331" w:rsidRDefault="0091464D" w:rsidP="0091464D">
      <w:pPr>
        <w:numPr>
          <w:ilvl w:val="0"/>
          <w:numId w:val="25"/>
        </w:numPr>
        <w:spacing w:after="0" w:line="240" w:lineRule="auto"/>
        <w:jc w:val="both"/>
        <w:rPr>
          <w:rFonts w:eastAsia="Calibri" w:cstheme="minorHAnsi"/>
          <w:color w:val="4F6228" w:themeColor="accent3" w:themeShade="80"/>
          <w:sz w:val="24"/>
          <w:szCs w:val="24"/>
        </w:rPr>
      </w:pPr>
      <w:r w:rsidRPr="004D1331">
        <w:rPr>
          <w:rFonts w:eastAsia="Calibri" w:cs="Calibri"/>
          <w:b/>
          <w:color w:val="4F6228" w:themeColor="accent3" w:themeShade="80"/>
          <w:sz w:val="24"/>
          <w:szCs w:val="24"/>
        </w:rPr>
        <w:t xml:space="preserve">Limitar y reordenar las bonificaciones a la contratación para que sean eficaces, que en todo caso </w:t>
      </w:r>
      <w:r w:rsidRPr="004D1331">
        <w:rPr>
          <w:rFonts w:eastAsia="Calibri" w:cstheme="minorHAnsi"/>
          <w:color w:val="4F6228" w:themeColor="accent3" w:themeShade="80"/>
          <w:sz w:val="24"/>
          <w:szCs w:val="24"/>
        </w:rPr>
        <w:t>deberían ser utilizadas exclusivamente en el marco de un itinerario personalizado de inserción laboral.</w:t>
      </w:r>
    </w:p>
    <w:p w:rsidR="0091464D" w:rsidRPr="004D1331" w:rsidRDefault="0091464D" w:rsidP="0091464D">
      <w:pPr>
        <w:spacing w:after="0" w:line="240" w:lineRule="auto"/>
        <w:jc w:val="both"/>
        <w:rPr>
          <w:rFonts w:ascii="Arial Narrow" w:eastAsia="Calibri" w:hAnsi="Arial Narrow" w:cstheme="minorHAnsi"/>
          <w:color w:val="4F6228" w:themeColor="accent3" w:themeShade="80"/>
          <w:sz w:val="24"/>
          <w:szCs w:val="24"/>
          <w:lang w:eastAsia="es-ES"/>
        </w:rPr>
      </w:pPr>
    </w:p>
    <w:p w:rsidR="0091464D" w:rsidRPr="004D1331" w:rsidRDefault="0091464D" w:rsidP="0091464D">
      <w:pPr>
        <w:numPr>
          <w:ilvl w:val="0"/>
          <w:numId w:val="25"/>
        </w:numPr>
        <w:spacing w:after="0" w:line="240" w:lineRule="auto"/>
        <w:ind w:left="284" w:hanging="284"/>
        <w:jc w:val="both"/>
        <w:rPr>
          <w:b/>
          <w:color w:val="4F6228" w:themeColor="accent3" w:themeShade="80"/>
          <w:sz w:val="24"/>
          <w:szCs w:val="24"/>
        </w:rPr>
      </w:pPr>
      <w:r w:rsidRPr="004D1331">
        <w:rPr>
          <w:rFonts w:eastAsia="Calibri" w:cs="Calibri"/>
          <w:b/>
          <w:color w:val="4F6228" w:themeColor="accent3" w:themeShade="80"/>
          <w:sz w:val="24"/>
          <w:szCs w:val="24"/>
          <w:lang w:eastAsia="es-ES"/>
        </w:rPr>
        <w:t>Recuperar el equilibrio entre los derechos de la población trabajadora y el poder de los empresarios en la contratación a tiempo parcial, incluido el contrato fijo discontinuo</w:t>
      </w:r>
      <w:r w:rsidRPr="004D1331">
        <w:rPr>
          <w:b/>
          <w:color w:val="4F6228" w:themeColor="accent3" w:themeShade="80"/>
          <w:sz w:val="24"/>
          <w:szCs w:val="24"/>
        </w:rPr>
        <w:t>.</w:t>
      </w:r>
    </w:p>
    <w:p w:rsidR="003D7F90" w:rsidRPr="004D1331" w:rsidRDefault="003D7F90" w:rsidP="003D7F90">
      <w:pPr>
        <w:spacing w:after="0" w:line="240" w:lineRule="auto"/>
        <w:jc w:val="both"/>
        <w:rPr>
          <w:b/>
          <w:color w:val="4F6228" w:themeColor="accent3" w:themeShade="80"/>
          <w:sz w:val="24"/>
          <w:szCs w:val="24"/>
        </w:rPr>
      </w:pPr>
    </w:p>
    <w:p w:rsidR="0091464D" w:rsidRPr="004D1331" w:rsidRDefault="0091464D" w:rsidP="0091464D">
      <w:pPr>
        <w:numPr>
          <w:ilvl w:val="0"/>
          <w:numId w:val="25"/>
        </w:numPr>
        <w:spacing w:after="0" w:line="240" w:lineRule="auto"/>
        <w:jc w:val="both"/>
        <w:rPr>
          <w:b/>
          <w:color w:val="4F6228" w:themeColor="accent3" w:themeShade="80"/>
          <w:sz w:val="24"/>
          <w:szCs w:val="24"/>
        </w:rPr>
      </w:pPr>
      <w:r w:rsidRPr="004D1331">
        <w:rPr>
          <w:rFonts w:eastAsia="Calibri" w:cs="Calibri"/>
          <w:b/>
          <w:color w:val="4F6228" w:themeColor="accent3" w:themeShade="80"/>
          <w:sz w:val="24"/>
          <w:szCs w:val="24"/>
          <w:lang w:eastAsia="es-ES"/>
        </w:rPr>
        <w:t>Reforzar la exigencia del principio de igualdad entre trabajadores temporales e indefinidos.</w:t>
      </w:r>
    </w:p>
    <w:p w:rsidR="0091464D" w:rsidRPr="001D3810" w:rsidRDefault="0091464D" w:rsidP="0091464D">
      <w:pPr>
        <w:tabs>
          <w:tab w:val="left" w:pos="284"/>
        </w:tabs>
        <w:spacing w:after="0" w:line="240" w:lineRule="auto"/>
        <w:ind w:left="284"/>
        <w:jc w:val="both"/>
        <w:rPr>
          <w:rFonts w:eastAsia="Calibri" w:cs="Calibri"/>
          <w:sz w:val="24"/>
          <w:szCs w:val="24"/>
          <w:lang w:eastAsia="es-ES"/>
        </w:rPr>
      </w:pPr>
    </w:p>
    <w:p w:rsidR="0091464D" w:rsidRPr="004D1331" w:rsidRDefault="0091464D" w:rsidP="0091464D">
      <w:pPr>
        <w:tabs>
          <w:tab w:val="left" w:pos="0"/>
        </w:tabs>
        <w:spacing w:after="0" w:line="240" w:lineRule="auto"/>
        <w:jc w:val="both"/>
        <w:rPr>
          <w:rFonts w:eastAsia="Calibri" w:cs="Calibri"/>
          <w:color w:val="4F6228" w:themeColor="accent3" w:themeShade="80"/>
          <w:sz w:val="24"/>
          <w:szCs w:val="24"/>
          <w:lang w:eastAsia="es-ES"/>
        </w:rPr>
      </w:pPr>
      <w:r w:rsidRPr="001D3810">
        <w:rPr>
          <w:rFonts w:eastAsia="Calibri" w:cs="Calibri"/>
          <w:sz w:val="24"/>
          <w:szCs w:val="24"/>
          <w:lang w:eastAsia="es-ES"/>
        </w:rPr>
        <w:t xml:space="preserve">Por otro lado, y por lo que se refiere a los </w:t>
      </w:r>
      <w:r w:rsidRPr="004D1331">
        <w:rPr>
          <w:rFonts w:eastAsia="Calibri" w:cs="Calibri"/>
          <w:b/>
          <w:color w:val="4F6228" w:themeColor="accent3" w:themeShade="80"/>
          <w:sz w:val="24"/>
          <w:szCs w:val="24"/>
          <w:lang w:eastAsia="es-ES"/>
        </w:rPr>
        <w:t>contratos para la formación y el aprendizaje y de prácticas</w:t>
      </w:r>
      <w:r w:rsidRPr="004D1331">
        <w:rPr>
          <w:rFonts w:eastAsia="Calibri" w:cs="Calibri"/>
          <w:color w:val="4F6228" w:themeColor="accent3" w:themeShade="80"/>
          <w:sz w:val="24"/>
          <w:szCs w:val="24"/>
          <w:lang w:eastAsia="es-ES"/>
        </w:rPr>
        <w:t>:</w:t>
      </w:r>
    </w:p>
    <w:p w:rsidR="0091464D" w:rsidRPr="001D3810" w:rsidRDefault="0091464D" w:rsidP="0091464D">
      <w:pPr>
        <w:tabs>
          <w:tab w:val="left" w:pos="284"/>
        </w:tabs>
        <w:spacing w:after="0" w:line="240" w:lineRule="auto"/>
        <w:ind w:left="284"/>
        <w:jc w:val="both"/>
        <w:rPr>
          <w:rFonts w:eastAsia="Calibri" w:cs="Calibri"/>
          <w:sz w:val="24"/>
          <w:szCs w:val="24"/>
          <w:lang w:eastAsia="es-ES"/>
        </w:rPr>
      </w:pPr>
    </w:p>
    <w:p w:rsidR="0091464D" w:rsidRPr="004D1331" w:rsidRDefault="0091464D" w:rsidP="0091464D">
      <w:pPr>
        <w:numPr>
          <w:ilvl w:val="0"/>
          <w:numId w:val="26"/>
        </w:numPr>
        <w:tabs>
          <w:tab w:val="left" w:pos="0"/>
        </w:tabs>
        <w:spacing w:after="0" w:line="240" w:lineRule="auto"/>
        <w:ind w:left="284" w:hanging="284"/>
        <w:jc w:val="both"/>
        <w:rPr>
          <w:rFonts w:eastAsia="Calibri" w:cs="Calibri"/>
          <w:b/>
          <w:color w:val="4F6228" w:themeColor="accent3" w:themeShade="80"/>
          <w:sz w:val="24"/>
          <w:szCs w:val="24"/>
          <w:lang w:eastAsia="es-ES"/>
        </w:rPr>
      </w:pPr>
      <w:r w:rsidRPr="001D3810">
        <w:rPr>
          <w:rFonts w:eastAsia="Calibri" w:cs="Calibri"/>
          <w:sz w:val="24"/>
          <w:szCs w:val="24"/>
          <w:lang w:eastAsia="es-ES"/>
        </w:rPr>
        <w:t xml:space="preserve">Revisar la regulación del contrato para la formación y el aprendizaje para </w:t>
      </w:r>
      <w:r w:rsidRPr="004D1331">
        <w:rPr>
          <w:rFonts w:eastAsia="Calibri" w:cs="Calibri"/>
          <w:b/>
          <w:color w:val="4F6228" w:themeColor="accent3" w:themeShade="80"/>
          <w:sz w:val="24"/>
          <w:szCs w:val="24"/>
          <w:lang w:eastAsia="es-ES"/>
        </w:rPr>
        <w:t>garantizar su finalidad formativa</w:t>
      </w:r>
      <w:r w:rsidRPr="004D1331">
        <w:rPr>
          <w:rFonts w:eastAsia="Calibri" w:cs="Calibri"/>
          <w:color w:val="4F6228" w:themeColor="accent3" w:themeShade="80"/>
          <w:sz w:val="24"/>
          <w:szCs w:val="24"/>
          <w:lang w:eastAsia="es-ES"/>
        </w:rPr>
        <w:t>, y eliminar la posibilidad de encadenamiento de este tipo de contratos.</w:t>
      </w:r>
    </w:p>
    <w:p w:rsidR="0091464D" w:rsidRPr="004D1331" w:rsidRDefault="0091464D" w:rsidP="0091464D">
      <w:pPr>
        <w:tabs>
          <w:tab w:val="left" w:pos="0"/>
        </w:tabs>
        <w:spacing w:after="0" w:line="240" w:lineRule="auto"/>
        <w:ind w:left="284"/>
        <w:jc w:val="both"/>
        <w:rPr>
          <w:rFonts w:eastAsia="Calibri" w:cs="Calibri"/>
          <w:color w:val="4F6228" w:themeColor="accent3" w:themeShade="80"/>
          <w:sz w:val="24"/>
          <w:szCs w:val="24"/>
          <w:lang w:eastAsia="es-ES"/>
        </w:rPr>
      </w:pPr>
    </w:p>
    <w:p w:rsidR="0091464D" w:rsidRPr="001D3810" w:rsidRDefault="0091464D" w:rsidP="0091464D">
      <w:pPr>
        <w:numPr>
          <w:ilvl w:val="0"/>
          <w:numId w:val="26"/>
        </w:numPr>
        <w:tabs>
          <w:tab w:val="left" w:pos="0"/>
        </w:tabs>
        <w:spacing w:after="0" w:line="240" w:lineRule="auto"/>
        <w:ind w:left="284" w:hanging="284"/>
        <w:jc w:val="both"/>
        <w:rPr>
          <w:rFonts w:eastAsia="Calibri" w:cs="Calibri"/>
          <w:sz w:val="24"/>
          <w:szCs w:val="24"/>
          <w:lang w:eastAsia="es-ES"/>
        </w:rPr>
      </w:pPr>
      <w:r w:rsidRPr="004D1331">
        <w:rPr>
          <w:rFonts w:eastAsia="Calibri" w:cs="Calibri"/>
          <w:b/>
          <w:color w:val="4F6228" w:themeColor="accent3" w:themeShade="80"/>
          <w:sz w:val="24"/>
          <w:szCs w:val="24"/>
          <w:lang w:eastAsia="es-ES"/>
        </w:rPr>
        <w:t xml:space="preserve">Reformar el sistema de prácticas no laborales en </w:t>
      </w:r>
      <w:r w:rsidR="002F3311" w:rsidRPr="004D1331">
        <w:rPr>
          <w:rFonts w:eastAsia="Calibri" w:cs="Calibri"/>
          <w:b/>
          <w:color w:val="4F6228" w:themeColor="accent3" w:themeShade="80"/>
          <w:sz w:val="24"/>
          <w:szCs w:val="24"/>
          <w:lang w:eastAsia="es-ES"/>
        </w:rPr>
        <w:t>Andalucía</w:t>
      </w:r>
      <w:r w:rsidRPr="001D3810">
        <w:rPr>
          <w:rFonts w:eastAsia="Calibri" w:cs="Calibri"/>
          <w:sz w:val="24"/>
          <w:szCs w:val="24"/>
          <w:lang w:eastAsia="es-ES"/>
        </w:rPr>
        <w:t xml:space="preserve">, estableciendo un marco claro de derechos a aquellos estudiantes que por el programa formativo estén obligados a realizar prácticas no laborales (curriculares). Y laboralizar todas aquellas prácticas no laborales extracurriculares a través del contrato laboral en prácticas, ya que es donde se esconde el fraude en la contratación. </w:t>
      </w:r>
    </w:p>
    <w:p w:rsidR="0091464D" w:rsidRPr="001D3810" w:rsidRDefault="0091464D" w:rsidP="0091464D">
      <w:pPr>
        <w:tabs>
          <w:tab w:val="left" w:pos="0"/>
          <w:tab w:val="left" w:pos="284"/>
        </w:tabs>
        <w:spacing w:after="0" w:line="240" w:lineRule="auto"/>
        <w:jc w:val="both"/>
        <w:rPr>
          <w:rFonts w:eastAsia="Calibri" w:cs="Calibri"/>
          <w:sz w:val="24"/>
          <w:szCs w:val="24"/>
          <w:lang w:eastAsia="es-ES"/>
        </w:rPr>
      </w:pPr>
    </w:p>
    <w:p w:rsidR="008160BA" w:rsidRPr="001D3810" w:rsidRDefault="008160BA">
      <w:pPr>
        <w:rPr>
          <w:sz w:val="24"/>
          <w:szCs w:val="24"/>
        </w:rPr>
      </w:pPr>
      <w:r w:rsidRPr="001D3810">
        <w:rPr>
          <w:sz w:val="24"/>
          <w:szCs w:val="24"/>
        </w:rPr>
        <w:br w:type="page"/>
      </w:r>
    </w:p>
    <w:p w:rsidR="008160BA" w:rsidRPr="004D1331" w:rsidRDefault="008160BA" w:rsidP="008160BA">
      <w:pPr>
        <w:spacing w:after="0" w:line="240" w:lineRule="auto"/>
        <w:ind w:left="426" w:hanging="426"/>
        <w:jc w:val="center"/>
        <w:rPr>
          <w:rFonts w:ascii="Calibri" w:eastAsia="Calibri" w:hAnsi="Calibri" w:cs="Times New Roman"/>
          <w:b/>
          <w:color w:val="4F6228" w:themeColor="accent3" w:themeShade="80"/>
          <w:sz w:val="32"/>
          <w:szCs w:val="28"/>
        </w:rPr>
      </w:pPr>
      <w:r w:rsidRPr="004D1331">
        <w:rPr>
          <w:rFonts w:ascii="Calibri" w:eastAsia="Calibri" w:hAnsi="Calibri" w:cs="Times New Roman"/>
          <w:b/>
          <w:color w:val="4F6228" w:themeColor="accent3" w:themeShade="80"/>
          <w:sz w:val="32"/>
          <w:szCs w:val="28"/>
        </w:rPr>
        <w:lastRenderedPageBreak/>
        <w:t>ÍNDICE DE CUADROS Y GRÁFICOS</w:t>
      </w:r>
    </w:p>
    <w:p w:rsidR="008160BA" w:rsidRPr="004D1331" w:rsidRDefault="00FF0162" w:rsidP="008160BA">
      <w:pPr>
        <w:spacing w:after="0" w:line="240" w:lineRule="auto"/>
        <w:rPr>
          <w:rFonts w:ascii="Calibri" w:eastAsia="Calibri" w:hAnsi="Calibri" w:cs="Times New Roman"/>
          <w:color w:val="4F6228" w:themeColor="accent3" w:themeShade="80"/>
        </w:rPr>
      </w:pPr>
      <w:r w:rsidRPr="00FF0162">
        <w:rPr>
          <w:rFonts w:ascii="Calibri" w:eastAsia="Calibri" w:hAnsi="Calibri" w:cs="Times New Roman"/>
          <w:color w:val="4F6228" w:themeColor="accent3" w:themeShade="80"/>
        </w:rPr>
        <w:pict>
          <v:rect id="_x0000_i1025" style="width:0;height:1.5pt" o:hralign="center" o:hrstd="t" o:hr="t" fillcolor="#a0a0a0" stroked="f"/>
        </w:pict>
      </w:r>
    </w:p>
    <w:p w:rsidR="008160BA" w:rsidRPr="004D1331" w:rsidRDefault="008160BA" w:rsidP="008160BA">
      <w:pPr>
        <w:spacing w:after="0" w:line="240" w:lineRule="auto"/>
        <w:ind w:left="426" w:hanging="426"/>
        <w:jc w:val="center"/>
        <w:rPr>
          <w:rFonts w:ascii="Calibri" w:eastAsia="Calibri" w:hAnsi="Calibri" w:cs="Times New Roman"/>
          <w:b/>
          <w:color w:val="4F6228" w:themeColor="accent3" w:themeShade="80"/>
          <w:sz w:val="24"/>
          <w:szCs w:val="28"/>
        </w:rPr>
      </w:pPr>
      <w:r w:rsidRPr="004D1331">
        <w:rPr>
          <w:rFonts w:ascii="Calibri" w:eastAsia="Calibri" w:hAnsi="Calibri" w:cs="Times New Roman"/>
          <w:b/>
          <w:color w:val="4F6228" w:themeColor="accent3" w:themeShade="80"/>
          <w:sz w:val="24"/>
          <w:szCs w:val="28"/>
        </w:rPr>
        <w:t>CUADROS</w:t>
      </w:r>
    </w:p>
    <w:p w:rsidR="008160BA" w:rsidRPr="004D1331" w:rsidRDefault="008160BA" w:rsidP="008160BA">
      <w:pPr>
        <w:spacing w:after="0" w:line="240" w:lineRule="auto"/>
        <w:rPr>
          <w:rFonts w:ascii="Calibri" w:eastAsia="Calibri" w:hAnsi="Calibri" w:cs="Times New Roman"/>
          <w:color w:val="4F6228" w:themeColor="accent3" w:themeShade="80"/>
        </w:rPr>
      </w:pPr>
    </w:p>
    <w:tbl>
      <w:tblPr>
        <w:tblStyle w:val="Tabladecuadrcula6concolores-nfasis21"/>
        <w:tblW w:w="9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4"/>
        <w:gridCol w:w="7427"/>
        <w:gridCol w:w="736"/>
      </w:tblGrid>
      <w:tr w:rsidR="008160BA" w:rsidRPr="004D1331" w:rsidTr="004D1331">
        <w:trPr>
          <w:cnfStyle w:val="100000000000"/>
        </w:trPr>
        <w:tc>
          <w:tcPr>
            <w:cnfStyle w:val="001000000000"/>
            <w:tcW w:w="1034" w:type="dxa"/>
            <w:tcBorders>
              <w:bottom w:val="single" w:sz="4" w:space="0" w:color="auto"/>
            </w:tcBorders>
          </w:tcPr>
          <w:p w:rsidR="008160BA" w:rsidRPr="004D1331" w:rsidRDefault="008160BA" w:rsidP="008160BA">
            <w:pPr>
              <w:jc w:val="center"/>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Número</w:t>
            </w:r>
          </w:p>
        </w:tc>
        <w:tc>
          <w:tcPr>
            <w:tcW w:w="7427" w:type="dxa"/>
            <w:tcBorders>
              <w:bottom w:val="single" w:sz="4" w:space="0" w:color="auto"/>
            </w:tcBorders>
          </w:tcPr>
          <w:p w:rsidR="008160BA" w:rsidRPr="004D1331" w:rsidRDefault="008160BA" w:rsidP="008160BA">
            <w:pPr>
              <w:jc w:val="center"/>
              <w:cnfStyle w:val="100000000000"/>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Título</w:t>
            </w:r>
          </w:p>
        </w:tc>
        <w:tc>
          <w:tcPr>
            <w:tcW w:w="736" w:type="dxa"/>
            <w:tcBorders>
              <w:bottom w:val="single" w:sz="4" w:space="0" w:color="auto"/>
            </w:tcBorders>
          </w:tcPr>
          <w:p w:rsidR="008160BA" w:rsidRPr="004D1331" w:rsidRDefault="008160BA" w:rsidP="008160BA">
            <w:pPr>
              <w:jc w:val="center"/>
              <w:cnfStyle w:val="100000000000"/>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Pág.</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ind w:left="-2"/>
              <w:jc w:val="both"/>
              <w:rPr>
                <w:rFonts w:ascii="Calibri" w:eastAsia="Calibri" w:hAnsi="Calibri" w:cs="Times New Roman"/>
                <w:b w:val="0"/>
                <w:bCs w:val="0"/>
                <w:color w:val="4F6228" w:themeColor="accent3" w:themeShade="80"/>
                <w:sz w:val="24"/>
              </w:rPr>
            </w:pPr>
            <w:r w:rsidRPr="004D1331">
              <w:rPr>
                <w:rFonts w:ascii="Calibri" w:eastAsia="Calibri" w:hAnsi="Calibri" w:cs="Times New Roman"/>
                <w:b w:val="0"/>
                <w:bCs w:val="0"/>
                <w:i/>
                <w:color w:val="4F6228" w:themeColor="accent3" w:themeShade="80"/>
                <w:sz w:val="20"/>
                <w:szCs w:val="28"/>
              </w:rPr>
              <w:t>C1</w:t>
            </w:r>
          </w:p>
        </w:tc>
        <w:tc>
          <w:tcPr>
            <w:tcW w:w="7427" w:type="dxa"/>
            <w:shd w:val="clear" w:color="auto" w:fill="D9D9D9" w:themeFill="background1" w:themeFillShade="D9"/>
            <w:vAlign w:val="center"/>
          </w:tcPr>
          <w:p w:rsidR="008160BA" w:rsidRPr="001D3810" w:rsidRDefault="008160BA" w:rsidP="007732E3">
            <w:pPr>
              <w:jc w:val="both"/>
              <w:cnfStyle w:val="000000100000"/>
              <w:rPr>
                <w:rFonts w:ascii="Calibri" w:eastAsia="Calibri" w:hAnsi="Calibri" w:cs="Times New Roman"/>
                <w:color w:val="auto"/>
                <w:sz w:val="24"/>
                <w:szCs w:val="24"/>
              </w:rPr>
            </w:pPr>
            <w:r w:rsidRPr="001D3810">
              <w:rPr>
                <w:rFonts w:ascii="Calibri" w:eastAsia="Calibri" w:hAnsi="Calibri" w:cs="Times New Roman"/>
                <w:b/>
                <w:i/>
                <w:color w:val="auto"/>
                <w:sz w:val="24"/>
                <w:szCs w:val="24"/>
              </w:rPr>
              <w:t xml:space="preserve">Previsiones cuadro macroeconómico </w:t>
            </w:r>
            <w:r w:rsidR="00B73C25" w:rsidRPr="001D3810">
              <w:rPr>
                <w:rFonts w:ascii="Calibri" w:eastAsia="Calibri" w:hAnsi="Calibri" w:cs="Times New Roman"/>
                <w:b/>
                <w:i/>
                <w:color w:val="auto"/>
                <w:sz w:val="24"/>
                <w:szCs w:val="24"/>
              </w:rPr>
              <w:t>para España</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8</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color w:val="4F6228" w:themeColor="accent3" w:themeShade="80"/>
                <w:sz w:val="24"/>
              </w:rPr>
            </w:pPr>
            <w:r w:rsidRPr="004D1331">
              <w:rPr>
                <w:rFonts w:ascii="Calibri" w:eastAsia="Calibri" w:hAnsi="Calibri" w:cs="Times New Roman"/>
                <w:b w:val="0"/>
                <w:bCs w:val="0"/>
                <w:i/>
                <w:color w:val="4F6228" w:themeColor="accent3" w:themeShade="80"/>
                <w:sz w:val="20"/>
                <w:szCs w:val="28"/>
              </w:rPr>
              <w:t>C2</w:t>
            </w:r>
          </w:p>
        </w:tc>
        <w:tc>
          <w:tcPr>
            <w:tcW w:w="7427" w:type="dxa"/>
            <w:shd w:val="clear" w:color="auto" w:fill="D9D9D9" w:themeFill="background1" w:themeFillShade="D9"/>
            <w:vAlign w:val="center"/>
          </w:tcPr>
          <w:p w:rsidR="008160BA" w:rsidRPr="001D3810" w:rsidRDefault="002C008D" w:rsidP="008160BA">
            <w:pPr>
              <w:widowControl w:val="0"/>
              <w:tabs>
                <w:tab w:val="left" w:pos="4830"/>
              </w:tabs>
              <w:jc w:val="both"/>
              <w:cnfStyle w:val="000000000000"/>
              <w:rPr>
                <w:rFonts w:ascii="Calibri" w:eastAsia="Calibri" w:hAnsi="Calibri" w:cs="Times New Roman"/>
                <w:color w:val="auto"/>
                <w:sz w:val="24"/>
                <w:szCs w:val="24"/>
              </w:rPr>
            </w:pPr>
            <w:r w:rsidRPr="001D3810">
              <w:rPr>
                <w:rFonts w:ascii="Calibri" w:eastAsia="Times New Roman" w:hAnsi="Calibri" w:cs="Calibri"/>
                <w:b/>
                <w:i/>
                <w:color w:val="auto"/>
                <w:sz w:val="24"/>
                <w:szCs w:val="24"/>
                <w:lang w:eastAsia="es-ES"/>
              </w:rPr>
              <w:t>Tasas de temporalidad por edades y sexo</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12</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color w:val="4F6228" w:themeColor="accent3" w:themeShade="80"/>
                <w:sz w:val="24"/>
              </w:rPr>
            </w:pPr>
            <w:r w:rsidRPr="004D1331">
              <w:rPr>
                <w:rFonts w:ascii="Calibri" w:eastAsia="Calibri" w:hAnsi="Calibri" w:cs="Times New Roman"/>
                <w:b w:val="0"/>
                <w:bCs w:val="0"/>
                <w:i/>
                <w:color w:val="4F6228" w:themeColor="accent3" w:themeShade="80"/>
                <w:sz w:val="20"/>
                <w:szCs w:val="28"/>
              </w:rPr>
              <w:t>C3</w:t>
            </w:r>
          </w:p>
        </w:tc>
        <w:tc>
          <w:tcPr>
            <w:tcW w:w="7427" w:type="dxa"/>
            <w:shd w:val="clear" w:color="auto" w:fill="D9D9D9" w:themeFill="background1" w:themeFillShade="D9"/>
            <w:vAlign w:val="center"/>
          </w:tcPr>
          <w:p w:rsidR="008160BA" w:rsidRPr="001D3810" w:rsidRDefault="002C008D" w:rsidP="008160BA">
            <w:pPr>
              <w:jc w:val="both"/>
              <w:cnfStyle w:val="000000100000"/>
              <w:rPr>
                <w:rFonts w:ascii="Calibri" w:eastAsia="Calibri" w:hAnsi="Calibri" w:cs="Times New Roman"/>
                <w:color w:val="auto"/>
                <w:sz w:val="24"/>
                <w:szCs w:val="24"/>
              </w:rPr>
            </w:pPr>
            <w:r w:rsidRPr="001D3810">
              <w:rPr>
                <w:rFonts w:ascii="Calibri" w:eastAsia="Calibri" w:hAnsi="Calibri" w:cs="Times New Roman"/>
                <w:b/>
                <w:i/>
                <w:color w:val="auto"/>
                <w:sz w:val="24"/>
                <w:szCs w:val="24"/>
              </w:rPr>
              <w:t>Contratos de apoyo a emprendedores</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16</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color w:val="4F6228" w:themeColor="accent3" w:themeShade="80"/>
                <w:sz w:val="24"/>
              </w:rPr>
            </w:pPr>
            <w:r w:rsidRPr="004D1331">
              <w:rPr>
                <w:rFonts w:ascii="Calibri" w:eastAsia="Calibri" w:hAnsi="Calibri" w:cs="Times New Roman"/>
                <w:b w:val="0"/>
                <w:bCs w:val="0"/>
                <w:i/>
                <w:color w:val="4F6228" w:themeColor="accent3" w:themeShade="80"/>
                <w:sz w:val="20"/>
                <w:szCs w:val="28"/>
              </w:rPr>
              <w:t>C4</w:t>
            </w:r>
          </w:p>
        </w:tc>
        <w:tc>
          <w:tcPr>
            <w:tcW w:w="7427" w:type="dxa"/>
            <w:shd w:val="clear" w:color="auto" w:fill="D9D9D9" w:themeFill="background1" w:themeFillShade="D9"/>
            <w:vAlign w:val="center"/>
          </w:tcPr>
          <w:p w:rsidR="008160BA" w:rsidRPr="001D3810" w:rsidRDefault="002C008D" w:rsidP="008160BA">
            <w:pPr>
              <w:jc w:val="both"/>
              <w:cnfStyle w:val="000000000000"/>
              <w:rPr>
                <w:rFonts w:ascii="Calibri" w:eastAsia="Calibri" w:hAnsi="Calibri" w:cs="Times New Roman"/>
                <w:color w:val="auto"/>
                <w:sz w:val="24"/>
                <w:szCs w:val="24"/>
              </w:rPr>
            </w:pPr>
            <w:r w:rsidRPr="001D3810">
              <w:rPr>
                <w:rFonts w:ascii="Calibri" w:eastAsia="Calibri" w:hAnsi="Calibri" w:cs="Times New Roman"/>
                <w:b/>
                <w:i/>
                <w:color w:val="auto"/>
                <w:sz w:val="24"/>
                <w:szCs w:val="24"/>
              </w:rPr>
              <w:t>Evolución del desempleo por principales características</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19</w:t>
            </w:r>
          </w:p>
        </w:tc>
      </w:tr>
      <w:tr w:rsidR="002C008D" w:rsidRPr="001D3810" w:rsidTr="004D1331">
        <w:trPr>
          <w:cnfStyle w:val="000000100000"/>
        </w:trPr>
        <w:tc>
          <w:tcPr>
            <w:cnfStyle w:val="001000000000"/>
            <w:tcW w:w="1034" w:type="dxa"/>
            <w:shd w:val="clear" w:color="auto" w:fill="FFFFFF" w:themeFill="background1"/>
            <w:vAlign w:val="center"/>
          </w:tcPr>
          <w:p w:rsidR="002C008D" w:rsidRPr="004D1331" w:rsidRDefault="002C008D"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C5</w:t>
            </w:r>
          </w:p>
        </w:tc>
        <w:tc>
          <w:tcPr>
            <w:tcW w:w="7427" w:type="dxa"/>
            <w:shd w:val="clear" w:color="auto" w:fill="D9D9D9" w:themeFill="background1" w:themeFillShade="D9"/>
            <w:vAlign w:val="center"/>
          </w:tcPr>
          <w:p w:rsidR="002C008D" w:rsidRPr="001D3810" w:rsidRDefault="002C008D"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Tasa de paro de menores de 25 años y general en la UE</w:t>
            </w:r>
          </w:p>
        </w:tc>
        <w:tc>
          <w:tcPr>
            <w:tcW w:w="736" w:type="dxa"/>
            <w:shd w:val="clear" w:color="auto" w:fill="D9D9D9" w:themeFill="background1" w:themeFillShade="D9"/>
            <w:vAlign w:val="center"/>
          </w:tcPr>
          <w:p w:rsidR="002C008D"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21</w:t>
            </w:r>
          </w:p>
        </w:tc>
      </w:tr>
      <w:tr w:rsidR="002C008D" w:rsidRPr="001D3810" w:rsidTr="004D1331">
        <w:tc>
          <w:tcPr>
            <w:cnfStyle w:val="001000000000"/>
            <w:tcW w:w="1034" w:type="dxa"/>
            <w:shd w:val="clear" w:color="auto" w:fill="FFFFFF" w:themeFill="background1"/>
            <w:vAlign w:val="center"/>
          </w:tcPr>
          <w:p w:rsidR="002C008D" w:rsidRPr="004D1331" w:rsidRDefault="002C008D"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C6</w:t>
            </w:r>
          </w:p>
        </w:tc>
        <w:tc>
          <w:tcPr>
            <w:tcW w:w="7427" w:type="dxa"/>
            <w:shd w:val="clear" w:color="auto" w:fill="D9D9D9" w:themeFill="background1" w:themeFillShade="D9"/>
            <w:vAlign w:val="center"/>
          </w:tcPr>
          <w:p w:rsidR="002C008D" w:rsidRPr="001D3810" w:rsidRDefault="002C008D"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Evolución del número de personas activas por sexo</w:t>
            </w:r>
          </w:p>
        </w:tc>
        <w:tc>
          <w:tcPr>
            <w:tcW w:w="736" w:type="dxa"/>
            <w:shd w:val="clear" w:color="auto" w:fill="D9D9D9" w:themeFill="background1" w:themeFillShade="D9"/>
            <w:vAlign w:val="center"/>
          </w:tcPr>
          <w:p w:rsidR="002C008D"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29</w:t>
            </w:r>
          </w:p>
        </w:tc>
      </w:tr>
      <w:tr w:rsidR="002C008D" w:rsidRPr="001D3810" w:rsidTr="004D1331">
        <w:trPr>
          <w:cnfStyle w:val="000000100000"/>
        </w:trPr>
        <w:tc>
          <w:tcPr>
            <w:cnfStyle w:val="001000000000"/>
            <w:tcW w:w="1034" w:type="dxa"/>
            <w:shd w:val="clear" w:color="auto" w:fill="FFFFFF" w:themeFill="background1"/>
            <w:vAlign w:val="center"/>
          </w:tcPr>
          <w:p w:rsidR="002C008D" w:rsidRPr="004D1331" w:rsidRDefault="002C008D"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C7</w:t>
            </w:r>
          </w:p>
        </w:tc>
        <w:tc>
          <w:tcPr>
            <w:tcW w:w="7427" w:type="dxa"/>
            <w:shd w:val="clear" w:color="auto" w:fill="D9D9D9" w:themeFill="background1" w:themeFillShade="D9"/>
            <w:vAlign w:val="center"/>
          </w:tcPr>
          <w:p w:rsidR="002C008D" w:rsidRPr="001D3810" w:rsidRDefault="002C008D"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Indicadores de pobreza, exclusión social y desigualdad 2009-2016</w:t>
            </w:r>
          </w:p>
        </w:tc>
        <w:tc>
          <w:tcPr>
            <w:tcW w:w="736" w:type="dxa"/>
            <w:shd w:val="clear" w:color="auto" w:fill="D9D9D9" w:themeFill="background1" w:themeFillShade="D9"/>
            <w:vAlign w:val="center"/>
          </w:tcPr>
          <w:p w:rsidR="002C008D"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33</w:t>
            </w:r>
          </w:p>
        </w:tc>
      </w:tr>
      <w:tr w:rsidR="002C008D" w:rsidRPr="001D3810" w:rsidTr="004D1331">
        <w:tc>
          <w:tcPr>
            <w:cnfStyle w:val="001000000000"/>
            <w:tcW w:w="1034" w:type="dxa"/>
            <w:shd w:val="clear" w:color="auto" w:fill="FFFFFF" w:themeFill="background1"/>
            <w:vAlign w:val="center"/>
          </w:tcPr>
          <w:p w:rsidR="002C008D" w:rsidRPr="004D1331" w:rsidRDefault="002C008D"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C8</w:t>
            </w:r>
          </w:p>
        </w:tc>
        <w:tc>
          <w:tcPr>
            <w:tcW w:w="7427" w:type="dxa"/>
            <w:shd w:val="clear" w:color="auto" w:fill="D9D9D9" w:themeFill="background1" w:themeFillShade="D9"/>
            <w:vAlign w:val="center"/>
          </w:tcPr>
          <w:p w:rsidR="002C008D" w:rsidRPr="001D3810" w:rsidRDefault="002C008D"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Principales variables del mercado laboral</w:t>
            </w:r>
          </w:p>
        </w:tc>
        <w:tc>
          <w:tcPr>
            <w:tcW w:w="736" w:type="dxa"/>
            <w:shd w:val="clear" w:color="auto" w:fill="D9D9D9" w:themeFill="background1" w:themeFillShade="D9"/>
            <w:vAlign w:val="center"/>
          </w:tcPr>
          <w:p w:rsidR="002C008D"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35</w:t>
            </w:r>
          </w:p>
        </w:tc>
      </w:tr>
    </w:tbl>
    <w:p w:rsidR="008160BA" w:rsidRPr="001D3810" w:rsidRDefault="008160BA" w:rsidP="008160BA">
      <w:pPr>
        <w:spacing w:after="0"/>
        <w:rPr>
          <w:rFonts w:ascii="Calibri" w:eastAsia="Calibri" w:hAnsi="Calibri" w:cs="Times New Roman"/>
        </w:rPr>
      </w:pPr>
    </w:p>
    <w:p w:rsidR="008160BA" w:rsidRPr="001D3810" w:rsidRDefault="008160BA" w:rsidP="008160BA">
      <w:pPr>
        <w:spacing w:after="0"/>
        <w:rPr>
          <w:rFonts w:ascii="Calibri" w:eastAsia="Calibri" w:hAnsi="Calibri" w:cs="Times New Roman"/>
        </w:rPr>
      </w:pPr>
    </w:p>
    <w:p w:rsidR="008160BA" w:rsidRPr="004D1331" w:rsidRDefault="008160BA" w:rsidP="008160BA">
      <w:pPr>
        <w:spacing w:after="0" w:line="240" w:lineRule="auto"/>
        <w:ind w:left="426" w:hanging="426"/>
        <w:jc w:val="center"/>
        <w:rPr>
          <w:rFonts w:ascii="Calibri" w:eastAsia="Calibri" w:hAnsi="Calibri" w:cs="Times New Roman"/>
          <w:b/>
          <w:color w:val="4F6228" w:themeColor="accent3" w:themeShade="80"/>
          <w:sz w:val="24"/>
          <w:szCs w:val="28"/>
        </w:rPr>
      </w:pPr>
      <w:r w:rsidRPr="004D1331">
        <w:rPr>
          <w:rFonts w:ascii="Calibri" w:eastAsia="Calibri" w:hAnsi="Calibri" w:cs="Times New Roman"/>
          <w:b/>
          <w:color w:val="4F6228" w:themeColor="accent3" w:themeShade="80"/>
          <w:sz w:val="24"/>
          <w:szCs w:val="28"/>
        </w:rPr>
        <w:t>GRÁFICOS</w:t>
      </w:r>
    </w:p>
    <w:p w:rsidR="008160BA" w:rsidRPr="004D1331" w:rsidRDefault="008160BA" w:rsidP="008160BA">
      <w:pPr>
        <w:spacing w:after="0"/>
        <w:rPr>
          <w:rFonts w:ascii="Calibri" w:eastAsia="Calibri" w:hAnsi="Calibri" w:cs="Times New Roman"/>
          <w:color w:val="4F6228" w:themeColor="accent3" w:themeShade="80"/>
        </w:rPr>
      </w:pPr>
    </w:p>
    <w:tbl>
      <w:tblPr>
        <w:tblStyle w:val="Tabladecuadrcula6concolores-nfasis21"/>
        <w:tblW w:w="9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tblPr>
      <w:tblGrid>
        <w:gridCol w:w="1034"/>
        <w:gridCol w:w="7427"/>
        <w:gridCol w:w="736"/>
      </w:tblGrid>
      <w:tr w:rsidR="008160BA" w:rsidRPr="004D1331" w:rsidTr="004D1331">
        <w:trPr>
          <w:cnfStyle w:val="100000000000"/>
        </w:trPr>
        <w:tc>
          <w:tcPr>
            <w:cnfStyle w:val="001000000000"/>
            <w:tcW w:w="1034" w:type="dxa"/>
            <w:tcBorders>
              <w:bottom w:val="none" w:sz="0" w:space="0" w:color="auto"/>
            </w:tcBorders>
            <w:shd w:val="clear" w:color="auto" w:fill="FFFFFF" w:themeFill="background1"/>
            <w:vAlign w:val="center"/>
          </w:tcPr>
          <w:p w:rsidR="008160BA" w:rsidRPr="004D1331" w:rsidRDefault="008160BA" w:rsidP="008160BA">
            <w:pPr>
              <w:jc w:val="center"/>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Número</w:t>
            </w:r>
          </w:p>
        </w:tc>
        <w:tc>
          <w:tcPr>
            <w:tcW w:w="7427" w:type="dxa"/>
            <w:tcBorders>
              <w:bottom w:val="single" w:sz="4" w:space="0" w:color="auto"/>
            </w:tcBorders>
            <w:shd w:val="clear" w:color="auto" w:fill="FFFFFF" w:themeFill="background1"/>
            <w:vAlign w:val="center"/>
          </w:tcPr>
          <w:p w:rsidR="008160BA" w:rsidRPr="004D1331" w:rsidRDefault="008160BA" w:rsidP="008160BA">
            <w:pPr>
              <w:jc w:val="center"/>
              <w:cnfStyle w:val="100000000000"/>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Título</w:t>
            </w:r>
          </w:p>
        </w:tc>
        <w:tc>
          <w:tcPr>
            <w:tcW w:w="736" w:type="dxa"/>
            <w:tcBorders>
              <w:bottom w:val="single" w:sz="4" w:space="0" w:color="auto"/>
            </w:tcBorders>
            <w:shd w:val="clear" w:color="auto" w:fill="FFFFFF" w:themeFill="background1"/>
            <w:vAlign w:val="center"/>
          </w:tcPr>
          <w:p w:rsidR="008160BA" w:rsidRPr="004D1331" w:rsidRDefault="008160BA" w:rsidP="008160BA">
            <w:pPr>
              <w:jc w:val="center"/>
              <w:cnfStyle w:val="100000000000"/>
              <w:rPr>
                <w:rFonts w:ascii="Calibri" w:eastAsia="Calibri" w:hAnsi="Calibri" w:cs="Times New Roman"/>
                <w:bCs w:val="0"/>
                <w:color w:val="4F6228" w:themeColor="accent3" w:themeShade="80"/>
                <w:sz w:val="24"/>
              </w:rPr>
            </w:pPr>
            <w:r w:rsidRPr="004D1331">
              <w:rPr>
                <w:rFonts w:ascii="Calibri" w:eastAsia="Calibri" w:hAnsi="Calibri" w:cs="Times New Roman"/>
                <w:bCs w:val="0"/>
                <w:color w:val="4F6228" w:themeColor="accent3" w:themeShade="80"/>
                <w:sz w:val="24"/>
              </w:rPr>
              <w:t>Pág.</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PIB, empleo y productividad</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8</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Evolución del empleo por tipo de contrato</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10</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G3</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Crecimiento del empleo por tipo de contrato</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10</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G4</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Tasa de temporalidad</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11</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G5</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Porcentaje de empleo a tiempo parcial involuntario en la UE</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13</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G6</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Motivos por los que el trabajador tiene un empleo a tiempo parcial</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13</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G7</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Porcentaje de contratos indefinidos sobre el total</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14</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G8</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Porcentaje de contratos de duración de 7 días o menos sobre el total</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15</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G9</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Porcentaje de contratos a tiempo parcial sobre el total y a tiempo parcial indefinidos sobre el total de indefinidos</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15</w:t>
            </w:r>
          </w:p>
        </w:tc>
      </w:tr>
      <w:tr w:rsidR="008160BA" w:rsidRPr="001D3810" w:rsidTr="004D1331">
        <w:tc>
          <w:tcPr>
            <w:cnfStyle w:val="001000000000"/>
            <w:tcW w:w="1034" w:type="dxa"/>
            <w:shd w:val="clear" w:color="auto" w:fill="FFFFFF" w:themeFill="background1"/>
            <w:vAlign w:val="center"/>
          </w:tcPr>
          <w:p w:rsidR="008160BA" w:rsidRPr="004D1331" w:rsidRDefault="008160B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G10</w:t>
            </w:r>
          </w:p>
        </w:tc>
        <w:tc>
          <w:tcPr>
            <w:tcW w:w="7427" w:type="dxa"/>
            <w:shd w:val="clear" w:color="auto" w:fill="D9D9D9" w:themeFill="background1" w:themeFillShade="D9"/>
            <w:vAlign w:val="center"/>
          </w:tcPr>
          <w:p w:rsidR="008160BA" w:rsidRPr="001D3810" w:rsidRDefault="0099199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Estructura de la contratación por tipo y jornada</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16</w:t>
            </w:r>
          </w:p>
        </w:tc>
      </w:tr>
      <w:tr w:rsidR="0099199A" w:rsidRPr="001D3810" w:rsidTr="004D1331">
        <w:trPr>
          <w:cnfStyle w:val="000000100000"/>
        </w:trPr>
        <w:tc>
          <w:tcPr>
            <w:cnfStyle w:val="001000000000"/>
            <w:tcW w:w="1034" w:type="dxa"/>
            <w:shd w:val="clear" w:color="auto" w:fill="FFFFFF" w:themeFill="background1"/>
            <w:vAlign w:val="center"/>
          </w:tcPr>
          <w:p w:rsidR="0099199A" w:rsidRPr="004D1331" w:rsidRDefault="0099199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G11</w:t>
            </w:r>
          </w:p>
        </w:tc>
        <w:tc>
          <w:tcPr>
            <w:tcW w:w="7427" w:type="dxa"/>
            <w:shd w:val="clear" w:color="auto" w:fill="D9D9D9" w:themeFill="background1" w:themeFillShade="D9"/>
            <w:vAlign w:val="center"/>
          </w:tcPr>
          <w:p w:rsidR="0099199A" w:rsidRPr="001D3810" w:rsidRDefault="0099199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Rotación del empleo indefinido</w:t>
            </w:r>
          </w:p>
        </w:tc>
        <w:tc>
          <w:tcPr>
            <w:tcW w:w="736" w:type="dxa"/>
            <w:shd w:val="clear" w:color="auto" w:fill="D9D9D9" w:themeFill="background1" w:themeFillShade="D9"/>
            <w:vAlign w:val="center"/>
          </w:tcPr>
          <w:p w:rsidR="0099199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17</w:t>
            </w:r>
          </w:p>
        </w:tc>
      </w:tr>
      <w:tr w:rsidR="008160BA" w:rsidRPr="001D3810" w:rsidTr="004D1331">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r w:rsidR="0099199A" w:rsidRPr="004D1331">
              <w:rPr>
                <w:rFonts w:ascii="Calibri" w:eastAsia="Calibri" w:hAnsi="Calibri" w:cs="Times New Roman"/>
                <w:b w:val="0"/>
                <w:bCs w:val="0"/>
                <w:i/>
                <w:color w:val="4F6228" w:themeColor="accent3" w:themeShade="80"/>
                <w:sz w:val="20"/>
                <w:szCs w:val="28"/>
              </w:rPr>
              <w:t>2</w:t>
            </w:r>
          </w:p>
        </w:tc>
        <w:tc>
          <w:tcPr>
            <w:tcW w:w="7427" w:type="dxa"/>
            <w:shd w:val="clear" w:color="auto" w:fill="D9D9D9" w:themeFill="background1" w:themeFillShade="D9"/>
            <w:vAlign w:val="center"/>
          </w:tcPr>
          <w:p w:rsidR="008160BA" w:rsidRPr="001D3810" w:rsidRDefault="008160BA" w:rsidP="0061355B">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 xml:space="preserve">Evolución de los activos por edad </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20</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r w:rsidR="0099199A" w:rsidRPr="004D1331">
              <w:rPr>
                <w:rFonts w:ascii="Calibri" w:eastAsia="Calibri" w:hAnsi="Calibri" w:cs="Times New Roman"/>
                <w:b w:val="0"/>
                <w:bCs w:val="0"/>
                <w:i/>
                <w:color w:val="4F6228" w:themeColor="accent3" w:themeShade="80"/>
                <w:sz w:val="20"/>
                <w:szCs w:val="28"/>
              </w:rPr>
              <w:t>3</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Evolución del paro de larga duración</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20</w:t>
            </w:r>
          </w:p>
        </w:tc>
      </w:tr>
      <w:tr w:rsidR="0099199A" w:rsidRPr="001D3810" w:rsidTr="004D1331">
        <w:tc>
          <w:tcPr>
            <w:cnfStyle w:val="001000000000"/>
            <w:tcW w:w="1034" w:type="dxa"/>
            <w:shd w:val="clear" w:color="auto" w:fill="FFFFFF" w:themeFill="background1"/>
            <w:vAlign w:val="center"/>
          </w:tcPr>
          <w:p w:rsidR="0099199A" w:rsidRPr="004D1331" w:rsidRDefault="0099199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G14</w:t>
            </w:r>
          </w:p>
        </w:tc>
        <w:tc>
          <w:tcPr>
            <w:tcW w:w="7427" w:type="dxa"/>
            <w:shd w:val="clear" w:color="auto" w:fill="D9D9D9" w:themeFill="background1" w:themeFillShade="D9"/>
            <w:vAlign w:val="center"/>
          </w:tcPr>
          <w:p w:rsidR="0099199A" w:rsidRPr="001D3810" w:rsidRDefault="0099199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Hogares con todos sus miembros en situación de desempleo y hogares sin perceptores de rentas</w:t>
            </w:r>
          </w:p>
        </w:tc>
        <w:tc>
          <w:tcPr>
            <w:tcW w:w="736" w:type="dxa"/>
            <w:shd w:val="clear" w:color="auto" w:fill="D9D9D9" w:themeFill="background1" w:themeFillShade="D9"/>
            <w:vAlign w:val="center"/>
          </w:tcPr>
          <w:p w:rsidR="0099199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22</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r w:rsidR="0099199A" w:rsidRPr="004D1331">
              <w:rPr>
                <w:rFonts w:ascii="Calibri" w:eastAsia="Calibri" w:hAnsi="Calibri" w:cs="Times New Roman"/>
                <w:b w:val="0"/>
                <w:bCs w:val="0"/>
                <w:i/>
                <w:color w:val="4F6228" w:themeColor="accent3" w:themeShade="80"/>
                <w:sz w:val="20"/>
                <w:szCs w:val="28"/>
              </w:rPr>
              <w:t>5</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Presupuesto inicial para políticas activas de empleo</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23</w:t>
            </w:r>
          </w:p>
        </w:tc>
      </w:tr>
      <w:tr w:rsidR="008160BA" w:rsidRPr="001D3810" w:rsidTr="004D1331">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r w:rsidR="0099199A" w:rsidRPr="004D1331">
              <w:rPr>
                <w:rFonts w:ascii="Calibri" w:eastAsia="Calibri" w:hAnsi="Calibri" w:cs="Times New Roman"/>
                <w:b w:val="0"/>
                <w:bCs w:val="0"/>
                <w:i/>
                <w:color w:val="4F6228" w:themeColor="accent3" w:themeShade="80"/>
                <w:sz w:val="20"/>
                <w:szCs w:val="28"/>
              </w:rPr>
              <w:t>6</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Tasa de cobertura de las prestaciones por desempleo</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24</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w:t>
            </w:r>
            <w:r w:rsidR="0099199A" w:rsidRPr="004D1331">
              <w:rPr>
                <w:rFonts w:ascii="Calibri" w:eastAsia="Calibri" w:hAnsi="Calibri" w:cs="Times New Roman"/>
                <w:b w:val="0"/>
                <w:bCs w:val="0"/>
                <w:i/>
                <w:color w:val="4F6228" w:themeColor="accent3" w:themeShade="80"/>
                <w:sz w:val="20"/>
                <w:szCs w:val="28"/>
              </w:rPr>
              <w:t>7</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Gasto medio por beneficiario de prestaciones por desempleo</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24</w:t>
            </w:r>
          </w:p>
        </w:tc>
      </w:tr>
      <w:tr w:rsidR="0099199A" w:rsidRPr="001D3810" w:rsidTr="004D1331">
        <w:tc>
          <w:tcPr>
            <w:cnfStyle w:val="001000000000"/>
            <w:tcW w:w="1034" w:type="dxa"/>
            <w:shd w:val="clear" w:color="auto" w:fill="FFFFFF" w:themeFill="background1"/>
            <w:vAlign w:val="center"/>
          </w:tcPr>
          <w:p w:rsidR="0099199A" w:rsidRPr="004D1331" w:rsidRDefault="0099199A" w:rsidP="00F31C82">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G18</w:t>
            </w:r>
          </w:p>
        </w:tc>
        <w:tc>
          <w:tcPr>
            <w:tcW w:w="7427" w:type="dxa"/>
            <w:shd w:val="clear" w:color="auto" w:fill="D9D9D9" w:themeFill="background1" w:themeFillShade="D9"/>
            <w:vAlign w:val="center"/>
          </w:tcPr>
          <w:p w:rsidR="0099199A" w:rsidRPr="001D3810" w:rsidRDefault="0099199A" w:rsidP="00F31C82">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Aumentos salariales en la negociación colectiva, IPC y salarios reales</w:t>
            </w:r>
          </w:p>
        </w:tc>
        <w:tc>
          <w:tcPr>
            <w:tcW w:w="736" w:type="dxa"/>
            <w:shd w:val="clear" w:color="auto" w:fill="D9D9D9" w:themeFill="background1" w:themeFillShade="D9"/>
            <w:vAlign w:val="center"/>
          </w:tcPr>
          <w:p w:rsidR="0099199A" w:rsidRPr="001D3810" w:rsidRDefault="006373BA" w:rsidP="00F31C82">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25</w:t>
            </w:r>
          </w:p>
        </w:tc>
      </w:tr>
      <w:tr w:rsidR="0099199A" w:rsidRPr="001D3810" w:rsidTr="004D1331">
        <w:trPr>
          <w:cnfStyle w:val="000000100000"/>
        </w:trPr>
        <w:tc>
          <w:tcPr>
            <w:cnfStyle w:val="001000000000"/>
            <w:tcW w:w="1034" w:type="dxa"/>
            <w:shd w:val="clear" w:color="auto" w:fill="FFFFFF" w:themeFill="background1"/>
            <w:vAlign w:val="center"/>
          </w:tcPr>
          <w:p w:rsidR="0099199A" w:rsidRPr="004D1331" w:rsidRDefault="0099199A" w:rsidP="00F31C82">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G19</w:t>
            </w:r>
          </w:p>
        </w:tc>
        <w:tc>
          <w:tcPr>
            <w:tcW w:w="7427" w:type="dxa"/>
            <w:shd w:val="clear" w:color="auto" w:fill="D9D9D9" w:themeFill="background1" w:themeFillShade="D9"/>
            <w:vAlign w:val="center"/>
          </w:tcPr>
          <w:p w:rsidR="0099199A" w:rsidRPr="001D3810" w:rsidRDefault="0099199A" w:rsidP="00F31C82">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Variación del poder adquisitivo de los salarios</w:t>
            </w:r>
          </w:p>
        </w:tc>
        <w:tc>
          <w:tcPr>
            <w:tcW w:w="736" w:type="dxa"/>
            <w:shd w:val="clear" w:color="auto" w:fill="D9D9D9" w:themeFill="background1" w:themeFillShade="D9"/>
            <w:vAlign w:val="center"/>
          </w:tcPr>
          <w:p w:rsidR="0099199A" w:rsidRPr="001D3810" w:rsidRDefault="006373BA" w:rsidP="00F31C82">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26</w:t>
            </w:r>
          </w:p>
        </w:tc>
      </w:tr>
      <w:tr w:rsidR="0099199A" w:rsidRPr="001D3810" w:rsidTr="004D1331">
        <w:tc>
          <w:tcPr>
            <w:cnfStyle w:val="001000000000"/>
            <w:tcW w:w="1034" w:type="dxa"/>
            <w:shd w:val="clear" w:color="auto" w:fill="FFFFFF" w:themeFill="background1"/>
            <w:vAlign w:val="center"/>
          </w:tcPr>
          <w:p w:rsidR="0099199A" w:rsidRPr="004D1331" w:rsidRDefault="0099199A" w:rsidP="00F31C82">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G20</w:t>
            </w:r>
          </w:p>
        </w:tc>
        <w:tc>
          <w:tcPr>
            <w:tcW w:w="7427" w:type="dxa"/>
            <w:shd w:val="clear" w:color="auto" w:fill="D9D9D9" w:themeFill="background1" w:themeFillShade="D9"/>
            <w:vAlign w:val="center"/>
          </w:tcPr>
          <w:p w:rsidR="0099199A" w:rsidRPr="001D3810" w:rsidRDefault="0099199A" w:rsidP="00F31C82">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Pérdida de poder adquisitivo de los salarios por decil de población</w:t>
            </w:r>
          </w:p>
        </w:tc>
        <w:tc>
          <w:tcPr>
            <w:tcW w:w="736" w:type="dxa"/>
            <w:shd w:val="clear" w:color="auto" w:fill="D9D9D9" w:themeFill="background1" w:themeFillShade="D9"/>
            <w:vAlign w:val="center"/>
          </w:tcPr>
          <w:p w:rsidR="0099199A" w:rsidRPr="001D3810" w:rsidRDefault="006373BA" w:rsidP="00F31C82">
            <w:pPr>
              <w:jc w:val="right"/>
              <w:cnfStyle w:val="000000000000"/>
              <w:rPr>
                <w:rFonts w:ascii="Calibri" w:eastAsia="Calibri" w:hAnsi="Calibri" w:cs="Times New Roman"/>
                <w:color w:val="auto"/>
                <w:sz w:val="24"/>
                <w:szCs w:val="24"/>
              </w:rPr>
            </w:pPr>
            <w:r w:rsidRPr="001D3810">
              <w:rPr>
                <w:rFonts w:ascii="Calibri" w:eastAsia="Calibri" w:hAnsi="Calibri" w:cs="Times New Roman"/>
                <w:color w:val="auto"/>
                <w:sz w:val="24"/>
                <w:szCs w:val="24"/>
              </w:rPr>
              <w:t>27</w:t>
            </w:r>
          </w:p>
        </w:tc>
      </w:tr>
      <w:tr w:rsidR="0099199A" w:rsidRPr="001D3810" w:rsidTr="004D1331">
        <w:trPr>
          <w:cnfStyle w:val="000000100000"/>
        </w:trPr>
        <w:tc>
          <w:tcPr>
            <w:cnfStyle w:val="001000000000"/>
            <w:tcW w:w="1034" w:type="dxa"/>
            <w:shd w:val="clear" w:color="auto" w:fill="FFFFFF" w:themeFill="background1"/>
            <w:vAlign w:val="center"/>
          </w:tcPr>
          <w:p w:rsidR="0099199A" w:rsidRPr="004D1331" w:rsidRDefault="0099199A" w:rsidP="008160B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G21</w:t>
            </w:r>
          </w:p>
        </w:tc>
        <w:tc>
          <w:tcPr>
            <w:tcW w:w="7427" w:type="dxa"/>
            <w:shd w:val="clear" w:color="auto" w:fill="D9D9D9" w:themeFill="background1" w:themeFillShade="D9"/>
            <w:vAlign w:val="center"/>
          </w:tcPr>
          <w:p w:rsidR="0099199A" w:rsidRPr="001D3810" w:rsidRDefault="0099199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Participación de la remuneración de asalariados en la Renta</w:t>
            </w:r>
          </w:p>
        </w:tc>
        <w:tc>
          <w:tcPr>
            <w:tcW w:w="736" w:type="dxa"/>
            <w:shd w:val="clear" w:color="auto" w:fill="D9D9D9" w:themeFill="background1" w:themeFillShade="D9"/>
            <w:vAlign w:val="center"/>
          </w:tcPr>
          <w:p w:rsidR="0099199A" w:rsidRPr="001D3810" w:rsidRDefault="006373BA" w:rsidP="008160BA">
            <w:pPr>
              <w:jc w:val="right"/>
              <w:cnfStyle w:val="000000100000"/>
              <w:rPr>
                <w:rFonts w:ascii="Calibri" w:eastAsia="Calibri" w:hAnsi="Calibri" w:cs="Times New Roman"/>
                <w:color w:val="auto"/>
                <w:sz w:val="24"/>
              </w:rPr>
            </w:pPr>
            <w:r w:rsidRPr="001D3810">
              <w:rPr>
                <w:rFonts w:ascii="Calibri" w:eastAsia="Calibri" w:hAnsi="Calibri" w:cs="Times New Roman"/>
                <w:color w:val="auto"/>
                <w:sz w:val="24"/>
              </w:rPr>
              <w:t>28</w:t>
            </w:r>
          </w:p>
        </w:tc>
      </w:tr>
      <w:tr w:rsidR="008160BA" w:rsidRPr="001D3810" w:rsidTr="004D1331">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w:t>
            </w:r>
            <w:r w:rsidR="0099199A" w:rsidRPr="004D1331">
              <w:rPr>
                <w:rFonts w:ascii="Calibri" w:eastAsia="Calibri" w:hAnsi="Calibri" w:cs="Times New Roman"/>
                <w:b w:val="0"/>
                <w:bCs w:val="0"/>
                <w:i/>
                <w:color w:val="4F6228" w:themeColor="accent3" w:themeShade="80"/>
                <w:sz w:val="20"/>
                <w:szCs w:val="28"/>
              </w:rPr>
              <w:t>2</w:t>
            </w:r>
          </w:p>
        </w:tc>
        <w:tc>
          <w:tcPr>
            <w:tcW w:w="7427" w:type="dxa"/>
            <w:shd w:val="clear" w:color="auto" w:fill="D9D9D9" w:themeFill="background1" w:themeFillShade="D9"/>
            <w:vAlign w:val="center"/>
          </w:tcPr>
          <w:p w:rsidR="008160BA" w:rsidRPr="001D3810" w:rsidRDefault="008160BA" w:rsidP="008160B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Motivos por los que la trabajadora tiene un empleo a tiempo parcial</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rPr>
            </w:pPr>
            <w:r w:rsidRPr="001D3810">
              <w:rPr>
                <w:rFonts w:ascii="Calibri" w:eastAsia="Calibri" w:hAnsi="Calibri" w:cs="Times New Roman"/>
                <w:color w:val="auto"/>
                <w:sz w:val="24"/>
              </w:rPr>
              <w:t>30</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w:t>
            </w:r>
            <w:r w:rsidR="0099199A" w:rsidRPr="004D1331">
              <w:rPr>
                <w:rFonts w:ascii="Calibri" w:eastAsia="Calibri" w:hAnsi="Calibri" w:cs="Times New Roman"/>
                <w:b w:val="0"/>
                <w:bCs w:val="0"/>
                <w:i/>
                <w:color w:val="4F6228" w:themeColor="accent3" w:themeShade="80"/>
                <w:sz w:val="20"/>
                <w:szCs w:val="28"/>
              </w:rPr>
              <w:t>3</w:t>
            </w:r>
          </w:p>
        </w:tc>
        <w:tc>
          <w:tcPr>
            <w:tcW w:w="7427" w:type="dxa"/>
            <w:shd w:val="clear" w:color="auto" w:fill="D9D9D9" w:themeFill="background1" w:themeFillShade="D9"/>
            <w:vAlign w:val="center"/>
          </w:tcPr>
          <w:p w:rsidR="008160BA" w:rsidRPr="001D3810" w:rsidRDefault="008160BA" w:rsidP="008160B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Tasa de paro de hombres y mujeres</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rPr>
            </w:pPr>
            <w:r w:rsidRPr="001D3810">
              <w:rPr>
                <w:rFonts w:ascii="Calibri" w:eastAsia="Calibri" w:hAnsi="Calibri" w:cs="Times New Roman"/>
                <w:color w:val="auto"/>
                <w:sz w:val="24"/>
              </w:rPr>
              <w:t>31</w:t>
            </w:r>
          </w:p>
        </w:tc>
      </w:tr>
      <w:tr w:rsidR="008160BA" w:rsidRPr="001D3810" w:rsidTr="004D1331">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w:t>
            </w:r>
            <w:r w:rsidR="0099199A" w:rsidRPr="004D1331">
              <w:rPr>
                <w:rFonts w:ascii="Calibri" w:eastAsia="Calibri" w:hAnsi="Calibri" w:cs="Times New Roman"/>
                <w:b w:val="0"/>
                <w:bCs w:val="0"/>
                <w:i/>
                <w:color w:val="4F6228" w:themeColor="accent3" w:themeShade="80"/>
                <w:sz w:val="20"/>
                <w:szCs w:val="28"/>
              </w:rPr>
              <w:t>4</w:t>
            </w:r>
          </w:p>
        </w:tc>
        <w:tc>
          <w:tcPr>
            <w:tcW w:w="7427" w:type="dxa"/>
            <w:shd w:val="clear" w:color="auto" w:fill="D9D9D9" w:themeFill="background1" w:themeFillShade="D9"/>
            <w:vAlign w:val="center"/>
          </w:tcPr>
          <w:p w:rsidR="008160BA" w:rsidRPr="001D3810" w:rsidRDefault="008160BA" w:rsidP="0099199A">
            <w:pPr>
              <w:jc w:val="both"/>
              <w:cnfStyle w:val="0000000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 xml:space="preserve">Brecha salarial por </w:t>
            </w:r>
            <w:r w:rsidR="0099199A" w:rsidRPr="001D3810">
              <w:rPr>
                <w:rFonts w:ascii="Calibri" w:eastAsia="Calibri" w:hAnsi="Calibri" w:cs="Times New Roman"/>
                <w:b/>
                <w:i/>
                <w:color w:val="auto"/>
                <w:sz w:val="24"/>
                <w:szCs w:val="24"/>
              </w:rPr>
              <w:t>edad</w:t>
            </w:r>
          </w:p>
        </w:tc>
        <w:tc>
          <w:tcPr>
            <w:tcW w:w="736" w:type="dxa"/>
            <w:shd w:val="clear" w:color="auto" w:fill="D9D9D9" w:themeFill="background1" w:themeFillShade="D9"/>
            <w:vAlign w:val="center"/>
          </w:tcPr>
          <w:p w:rsidR="008160BA" w:rsidRPr="001D3810" w:rsidRDefault="006373BA" w:rsidP="008160BA">
            <w:pPr>
              <w:jc w:val="right"/>
              <w:cnfStyle w:val="000000000000"/>
              <w:rPr>
                <w:rFonts w:ascii="Calibri" w:eastAsia="Calibri" w:hAnsi="Calibri" w:cs="Times New Roman"/>
                <w:color w:val="auto"/>
                <w:sz w:val="24"/>
              </w:rPr>
            </w:pPr>
            <w:r w:rsidRPr="001D3810">
              <w:rPr>
                <w:rFonts w:ascii="Calibri" w:eastAsia="Calibri" w:hAnsi="Calibri" w:cs="Times New Roman"/>
                <w:color w:val="auto"/>
                <w:sz w:val="24"/>
              </w:rPr>
              <w:t>32</w:t>
            </w:r>
          </w:p>
        </w:tc>
      </w:tr>
      <w:tr w:rsidR="008160BA" w:rsidRPr="001D3810" w:rsidTr="004D1331">
        <w:trPr>
          <w:cnfStyle w:val="000000100000"/>
        </w:trPr>
        <w:tc>
          <w:tcPr>
            <w:cnfStyle w:val="001000000000"/>
            <w:tcW w:w="1034" w:type="dxa"/>
            <w:shd w:val="clear" w:color="auto" w:fill="FFFFFF" w:themeFill="background1"/>
            <w:vAlign w:val="center"/>
          </w:tcPr>
          <w:p w:rsidR="008160BA" w:rsidRPr="004D1331" w:rsidRDefault="008160BA" w:rsidP="0099199A">
            <w:pPr>
              <w:jc w:val="both"/>
              <w:rPr>
                <w:rFonts w:ascii="Calibri" w:eastAsia="Calibri" w:hAnsi="Calibri" w:cs="Times New Roman"/>
                <w:b w:val="0"/>
                <w:bCs w:val="0"/>
                <w:i/>
                <w:color w:val="4F6228" w:themeColor="accent3" w:themeShade="80"/>
                <w:sz w:val="20"/>
                <w:szCs w:val="28"/>
              </w:rPr>
            </w:pPr>
            <w:r w:rsidRPr="004D1331">
              <w:rPr>
                <w:rFonts w:ascii="Calibri" w:eastAsia="Calibri" w:hAnsi="Calibri" w:cs="Times New Roman"/>
                <w:b w:val="0"/>
                <w:bCs w:val="0"/>
                <w:i/>
                <w:color w:val="4F6228" w:themeColor="accent3" w:themeShade="80"/>
                <w:sz w:val="20"/>
                <w:szCs w:val="28"/>
              </w:rPr>
              <w:t>G2</w:t>
            </w:r>
            <w:r w:rsidR="0099199A" w:rsidRPr="004D1331">
              <w:rPr>
                <w:rFonts w:ascii="Calibri" w:eastAsia="Calibri" w:hAnsi="Calibri" w:cs="Times New Roman"/>
                <w:b w:val="0"/>
                <w:bCs w:val="0"/>
                <w:i/>
                <w:color w:val="4F6228" w:themeColor="accent3" w:themeShade="80"/>
                <w:sz w:val="20"/>
                <w:szCs w:val="28"/>
              </w:rPr>
              <w:t>5</w:t>
            </w:r>
          </w:p>
        </w:tc>
        <w:tc>
          <w:tcPr>
            <w:tcW w:w="7427" w:type="dxa"/>
            <w:shd w:val="clear" w:color="auto" w:fill="D9D9D9" w:themeFill="background1" w:themeFillShade="D9"/>
            <w:vAlign w:val="center"/>
          </w:tcPr>
          <w:p w:rsidR="008160BA" w:rsidRPr="001D3810" w:rsidRDefault="008160BA" w:rsidP="0099199A">
            <w:pPr>
              <w:jc w:val="both"/>
              <w:cnfStyle w:val="000000100000"/>
              <w:rPr>
                <w:rFonts w:ascii="Calibri" w:eastAsia="Calibri" w:hAnsi="Calibri" w:cs="Times New Roman"/>
                <w:b/>
                <w:i/>
                <w:color w:val="auto"/>
                <w:sz w:val="24"/>
                <w:szCs w:val="24"/>
              </w:rPr>
            </w:pPr>
            <w:r w:rsidRPr="001D3810">
              <w:rPr>
                <w:rFonts w:ascii="Calibri" w:eastAsia="Calibri" w:hAnsi="Calibri" w:cs="Times New Roman"/>
                <w:b/>
                <w:i/>
                <w:color w:val="auto"/>
                <w:sz w:val="24"/>
                <w:szCs w:val="24"/>
              </w:rPr>
              <w:t xml:space="preserve">Tasa de riesgo de pobreza </w:t>
            </w:r>
            <w:r w:rsidR="0099199A" w:rsidRPr="001D3810">
              <w:rPr>
                <w:rFonts w:ascii="Calibri" w:eastAsia="Calibri" w:hAnsi="Calibri" w:cs="Times New Roman"/>
                <w:b/>
                <w:i/>
                <w:color w:val="auto"/>
                <w:sz w:val="24"/>
                <w:szCs w:val="24"/>
              </w:rPr>
              <w:t>de ocupados y desempleados</w:t>
            </w:r>
            <w:r w:rsidRPr="001D3810">
              <w:rPr>
                <w:rFonts w:ascii="Calibri" w:eastAsia="Calibri" w:hAnsi="Calibri" w:cs="Times New Roman"/>
                <w:b/>
                <w:i/>
                <w:color w:val="auto"/>
                <w:sz w:val="24"/>
                <w:szCs w:val="24"/>
              </w:rPr>
              <w:t xml:space="preserve"> (%)</w:t>
            </w:r>
          </w:p>
        </w:tc>
        <w:tc>
          <w:tcPr>
            <w:tcW w:w="736" w:type="dxa"/>
            <w:shd w:val="clear" w:color="auto" w:fill="D9D9D9" w:themeFill="background1" w:themeFillShade="D9"/>
            <w:vAlign w:val="center"/>
          </w:tcPr>
          <w:p w:rsidR="008160BA" w:rsidRPr="001D3810" w:rsidRDefault="006373BA" w:rsidP="008160BA">
            <w:pPr>
              <w:jc w:val="right"/>
              <w:cnfStyle w:val="000000100000"/>
              <w:rPr>
                <w:rFonts w:ascii="Calibri" w:eastAsia="Calibri" w:hAnsi="Calibri" w:cs="Times New Roman"/>
                <w:color w:val="auto"/>
                <w:sz w:val="24"/>
                <w:szCs w:val="24"/>
              </w:rPr>
            </w:pPr>
            <w:r w:rsidRPr="001D3810">
              <w:rPr>
                <w:rFonts w:ascii="Calibri" w:eastAsia="Calibri" w:hAnsi="Calibri" w:cs="Times New Roman"/>
                <w:color w:val="auto"/>
                <w:sz w:val="24"/>
                <w:szCs w:val="24"/>
              </w:rPr>
              <w:t>34</w:t>
            </w:r>
          </w:p>
        </w:tc>
      </w:tr>
    </w:tbl>
    <w:p w:rsidR="008160BA" w:rsidRPr="001D3810" w:rsidRDefault="008160BA" w:rsidP="007C6E3A">
      <w:pPr>
        <w:spacing w:after="0" w:line="240" w:lineRule="auto"/>
        <w:jc w:val="both"/>
        <w:rPr>
          <w:sz w:val="24"/>
          <w:szCs w:val="24"/>
        </w:rPr>
      </w:pPr>
    </w:p>
    <w:sectPr w:rsidR="008160BA" w:rsidRPr="001D3810" w:rsidSect="00EE6190">
      <w:headerReference w:type="default" r:id="rId37"/>
      <w:footerReference w:type="default" r:id="rId38"/>
      <w:pgSz w:w="11906" w:h="16838" w:code="9"/>
      <w:pgMar w:top="1418" w:right="1701" w:bottom="1418" w:left="1701" w:header="56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32D2" w:rsidRDefault="007032D2" w:rsidP="00DA4081">
      <w:pPr>
        <w:spacing w:after="0" w:line="240" w:lineRule="auto"/>
      </w:pPr>
      <w:r>
        <w:separator/>
      </w:r>
    </w:p>
  </w:endnote>
  <w:endnote w:type="continuationSeparator" w:id="1">
    <w:p w:rsidR="007032D2" w:rsidRDefault="007032D2" w:rsidP="00DA40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6252453"/>
      <w:docPartObj>
        <w:docPartGallery w:val="Page Numbers (Bottom of Page)"/>
        <w:docPartUnique/>
      </w:docPartObj>
    </w:sdtPr>
    <w:sdtEndPr>
      <w:rPr>
        <w:color w:val="4F6228" w:themeColor="accent3" w:themeShade="80"/>
      </w:rPr>
    </w:sdtEndPr>
    <w:sdtContent>
      <w:p w:rsidR="0029468C" w:rsidRDefault="00FF0162">
        <w:pPr>
          <w:pStyle w:val="Piedepgina"/>
          <w:jc w:val="right"/>
        </w:pPr>
        <w:r w:rsidRPr="00ED7F30">
          <w:rPr>
            <w:color w:val="4F6228" w:themeColor="accent3" w:themeShade="80"/>
          </w:rPr>
          <w:fldChar w:fldCharType="begin"/>
        </w:r>
        <w:r w:rsidR="0029468C" w:rsidRPr="00ED7F30">
          <w:rPr>
            <w:color w:val="4F6228" w:themeColor="accent3" w:themeShade="80"/>
          </w:rPr>
          <w:instrText>PAGE   \* MERGEFORMAT</w:instrText>
        </w:r>
        <w:r w:rsidRPr="00ED7F30">
          <w:rPr>
            <w:color w:val="4F6228" w:themeColor="accent3" w:themeShade="80"/>
          </w:rPr>
          <w:fldChar w:fldCharType="separate"/>
        </w:r>
        <w:r w:rsidR="00BB36D6">
          <w:rPr>
            <w:noProof/>
            <w:color w:val="4F6228" w:themeColor="accent3" w:themeShade="80"/>
          </w:rPr>
          <w:t>38</w:t>
        </w:r>
        <w:r w:rsidRPr="00ED7F30">
          <w:rPr>
            <w:color w:val="4F6228" w:themeColor="accent3" w:themeShade="80"/>
          </w:rPr>
          <w:fldChar w:fldCharType="end"/>
        </w:r>
      </w:p>
    </w:sdtContent>
  </w:sdt>
  <w:p w:rsidR="0029468C" w:rsidRDefault="0029468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32D2" w:rsidRDefault="007032D2" w:rsidP="00DA4081">
      <w:pPr>
        <w:spacing w:after="0" w:line="240" w:lineRule="auto"/>
      </w:pPr>
      <w:r>
        <w:separator/>
      </w:r>
    </w:p>
  </w:footnote>
  <w:footnote w:type="continuationSeparator" w:id="1">
    <w:p w:rsidR="007032D2" w:rsidRDefault="007032D2" w:rsidP="00DA4081">
      <w:pPr>
        <w:spacing w:after="0" w:line="240" w:lineRule="auto"/>
      </w:pPr>
      <w:r>
        <w:continuationSeparator/>
      </w:r>
    </w:p>
  </w:footnote>
  <w:footnote w:id="2">
    <w:p w:rsidR="0029468C" w:rsidRPr="00ED7F30" w:rsidRDefault="0029468C" w:rsidP="004B6957">
      <w:pPr>
        <w:pStyle w:val="Textonotapie"/>
        <w:jc w:val="both"/>
        <w:rPr>
          <w:color w:val="4F6228" w:themeColor="accent3" w:themeShade="80"/>
        </w:rPr>
      </w:pPr>
      <w:r w:rsidRPr="00ED7F30">
        <w:rPr>
          <w:rStyle w:val="Refdenotaalpie"/>
          <w:color w:val="4F6228" w:themeColor="accent3" w:themeShade="80"/>
        </w:rPr>
        <w:footnoteRef/>
      </w:r>
      <w:r w:rsidRPr="00ED7F30">
        <w:rPr>
          <w:color w:val="4F6228" w:themeColor="accent3" w:themeShade="80"/>
        </w:rPr>
        <w:t>La Autoridad Independiente de Responsabilidad Fiscal (AIReF) ha estimado que la crisis en Cataluña podría restar 0,4 puntos porcentuales en el crecimiento del PIB de España en 2018, teniendo en cuenta un escenario central, que podría elevarse hasta 1,2 puntos en el peor escenario, si se constatara una crisis institucional prolongada.</w:t>
      </w:r>
    </w:p>
  </w:footnote>
  <w:footnote w:id="3">
    <w:p w:rsidR="0029468C" w:rsidRPr="00ED7F30" w:rsidRDefault="0029468C" w:rsidP="00DA0E82">
      <w:pPr>
        <w:pStyle w:val="Textonotapie"/>
        <w:rPr>
          <w:color w:val="4F6228" w:themeColor="accent3" w:themeShade="80"/>
        </w:rPr>
      </w:pPr>
      <w:r w:rsidRPr="00ED7F30">
        <w:rPr>
          <w:rStyle w:val="Refdenotaalpie"/>
          <w:color w:val="4F6228" w:themeColor="accent3" w:themeShade="80"/>
        </w:rPr>
        <w:footnoteRef/>
      </w:r>
      <w:r w:rsidRPr="00ED7F30">
        <w:rPr>
          <w:color w:val="4F6228" w:themeColor="accent3" w:themeShade="80"/>
        </w:rPr>
        <w:t xml:space="preserve">Para 2017, datos hasta el tercer trimestre. Contabilidad Nacional Trimestral. </w:t>
      </w:r>
    </w:p>
  </w:footnote>
  <w:footnote w:id="4">
    <w:p w:rsidR="0029468C" w:rsidRPr="00ED7F30" w:rsidRDefault="0029468C" w:rsidP="00DA0E82">
      <w:pPr>
        <w:pStyle w:val="Textonotapie"/>
        <w:jc w:val="both"/>
        <w:rPr>
          <w:color w:val="4F6228" w:themeColor="accent3" w:themeShade="80"/>
        </w:rPr>
      </w:pPr>
      <w:r w:rsidRPr="00ED7F30">
        <w:rPr>
          <w:rStyle w:val="Refdenotaalpie"/>
          <w:color w:val="4F6228" w:themeColor="accent3" w:themeShade="80"/>
        </w:rPr>
        <w:footnoteRef/>
      </w:r>
      <w:r w:rsidRPr="00ED7F30">
        <w:rPr>
          <w:color w:val="4F6228" w:themeColor="accent3" w:themeShade="80"/>
        </w:rPr>
        <w:t>Según un análisis del Ministerio de Empleo y Seguridad Social, con datos de marzo de 2012 a enero de 2016, casi cuatro de cada diez contratos indefinidos firmados no duran más de un año (el 36,5%).</w:t>
      </w:r>
    </w:p>
  </w:footnote>
  <w:footnote w:id="5">
    <w:p w:rsidR="0029468C" w:rsidRPr="00B82490" w:rsidRDefault="0029468C" w:rsidP="00373CF9">
      <w:pPr>
        <w:pStyle w:val="Textonotapie"/>
        <w:jc w:val="both"/>
        <w:rPr>
          <w:color w:val="00B050"/>
          <w:szCs w:val="22"/>
        </w:rPr>
      </w:pPr>
      <w:r w:rsidRPr="00B82490">
        <w:rPr>
          <w:rStyle w:val="Refdenotaalpie"/>
          <w:color w:val="00B050"/>
        </w:rPr>
        <w:footnoteRef/>
      </w:r>
      <w:r w:rsidRPr="00B82490">
        <w:rPr>
          <w:color w:val="00B050"/>
          <w:szCs w:val="22"/>
        </w:rPr>
        <w:t>Datos al coste de los factores, es decir, sin tener en cuenta los impuestos sobre la producción y las importaciones y las subvenciones.</w:t>
      </w:r>
    </w:p>
  </w:footnote>
  <w:footnote w:id="6">
    <w:p w:rsidR="0029468C" w:rsidRPr="004D1331" w:rsidRDefault="0029468C" w:rsidP="004349F4">
      <w:pPr>
        <w:spacing w:after="0" w:line="240" w:lineRule="auto"/>
        <w:jc w:val="both"/>
        <w:rPr>
          <w:color w:val="4F6228" w:themeColor="accent3" w:themeShade="80"/>
          <w:sz w:val="20"/>
        </w:rPr>
      </w:pPr>
      <w:r w:rsidRPr="004D1331">
        <w:rPr>
          <w:rStyle w:val="Refdenotaalpie"/>
          <w:color w:val="4F6228" w:themeColor="accent3" w:themeShade="80"/>
        </w:rPr>
        <w:footnoteRef/>
      </w:r>
      <w:r w:rsidRPr="004D1331">
        <w:rPr>
          <w:color w:val="4F6228" w:themeColor="accent3" w:themeShade="80"/>
          <w:sz w:val="20"/>
        </w:rPr>
        <w:t xml:space="preserve">Datos de la </w:t>
      </w:r>
      <w:r w:rsidRPr="004D1331">
        <w:rPr>
          <w:i/>
          <w:color w:val="4F6228" w:themeColor="accent3" w:themeShade="80"/>
          <w:sz w:val="20"/>
        </w:rPr>
        <w:t xml:space="preserve">Encuesta de Estructura Salarial 2015 </w:t>
      </w:r>
      <w:r w:rsidRPr="004D1331">
        <w:rPr>
          <w:color w:val="4F6228" w:themeColor="accent3" w:themeShade="80"/>
          <w:sz w:val="20"/>
        </w:rPr>
        <w:t xml:space="preserve">del INE, última disponible. Para más información, ver el informe </w:t>
      </w:r>
      <w:hyperlink r:id="rId1" w:history="1">
        <w:r w:rsidRPr="004D1331">
          <w:rPr>
            <w:rStyle w:val="Hipervnculo"/>
            <w:i/>
            <w:color w:val="4F6228" w:themeColor="accent3" w:themeShade="80"/>
            <w:sz w:val="20"/>
          </w:rPr>
          <w:t>La falta de políticas de igualdad en el empleo incrementa la brecha salarial</w:t>
        </w:r>
      </w:hyperlink>
      <w:r w:rsidRPr="004D1331">
        <w:rPr>
          <w:i/>
          <w:color w:val="4F6228" w:themeColor="accent3" w:themeShade="80"/>
          <w:sz w:val="20"/>
        </w:rPr>
        <w:t xml:space="preserve">. </w:t>
      </w:r>
      <w:r w:rsidRPr="004D1331">
        <w:rPr>
          <w:color w:val="4F6228" w:themeColor="accent3" w:themeShade="80"/>
          <w:sz w:val="20"/>
        </w:rPr>
        <w:t>Vicesecretaría General Confederal de UGT. Departamento de la Mujer Trabajadora. 20 de febrero de 2017.</w:t>
      </w:r>
    </w:p>
  </w:footnote>
  <w:footnote w:id="7">
    <w:p w:rsidR="0029468C" w:rsidRPr="00EE1054" w:rsidRDefault="0029468C" w:rsidP="00AF2C38">
      <w:pPr>
        <w:pStyle w:val="Textonotapie"/>
        <w:jc w:val="both"/>
        <w:rPr>
          <w:color w:val="00B050"/>
        </w:rPr>
      </w:pPr>
      <w:r w:rsidRPr="00EE1054">
        <w:rPr>
          <w:rStyle w:val="Refdenotaalpie"/>
          <w:color w:val="00B050"/>
        </w:rPr>
        <w:footnoteRef/>
      </w:r>
      <w:r w:rsidRPr="00EE1054">
        <w:rPr>
          <w:color w:val="00B050"/>
        </w:rPr>
        <w:t xml:space="preserve"> Oxfam Intermón, 2018. </w:t>
      </w:r>
      <w:r w:rsidRPr="00EE1054">
        <w:rPr>
          <w:i/>
          <w:color w:val="00B050"/>
        </w:rPr>
        <w:t>¿Realidad o ficción? La recuperación económica en manos de una minoría</w:t>
      </w:r>
      <w:r w:rsidRPr="00EE1054">
        <w:rPr>
          <w:color w:val="00B050"/>
        </w:rPr>
        <w:t>.</w:t>
      </w:r>
    </w:p>
  </w:footnote>
  <w:footnote w:id="8">
    <w:p w:rsidR="0029468C" w:rsidRPr="004D1331" w:rsidRDefault="0029468C" w:rsidP="00AF2C38">
      <w:pPr>
        <w:pStyle w:val="Textonotapie"/>
        <w:jc w:val="both"/>
        <w:rPr>
          <w:color w:val="4F6228" w:themeColor="accent3" w:themeShade="80"/>
        </w:rPr>
      </w:pPr>
      <w:r w:rsidRPr="004D1331">
        <w:rPr>
          <w:rStyle w:val="Refdenotaalpie"/>
          <w:color w:val="4F6228" w:themeColor="accent3" w:themeShade="80"/>
        </w:rPr>
        <w:footnoteRef/>
      </w:r>
      <w:r w:rsidRPr="004D1331">
        <w:rPr>
          <w:color w:val="4F6228" w:themeColor="accent3" w:themeShade="80"/>
        </w:rPr>
        <w:t xml:space="preserve"> Real Decreto ley 3/2012, de 10 de febrero, de medidas urgentes para la reforma del mercado laboral. Convalidado por la Ley 3/2012, de 10 de julio del mismo año. </w:t>
      </w:r>
    </w:p>
  </w:footnote>
  <w:footnote w:id="9">
    <w:p w:rsidR="0029468C" w:rsidRPr="004D1331" w:rsidRDefault="0029468C" w:rsidP="00CF6023">
      <w:pPr>
        <w:pStyle w:val="Textonotapie"/>
        <w:jc w:val="both"/>
        <w:rPr>
          <w:color w:val="4F6228" w:themeColor="accent3" w:themeShade="80"/>
        </w:rPr>
      </w:pPr>
      <w:r w:rsidRPr="004D1331">
        <w:rPr>
          <w:rStyle w:val="Refdenotaalpie"/>
          <w:color w:val="4F6228" w:themeColor="accent3" w:themeShade="80"/>
        </w:rPr>
        <w:footnoteRef/>
      </w:r>
      <w:r w:rsidRPr="004D1331">
        <w:rPr>
          <w:color w:val="4F6228" w:themeColor="accent3" w:themeShade="80"/>
        </w:rPr>
        <w:t xml:space="preserve"> La caracterización de la reforma laboral de 2012 como “</w:t>
      </w:r>
      <w:r w:rsidRPr="004D1331">
        <w:rPr>
          <w:i/>
          <w:color w:val="4F6228" w:themeColor="accent3" w:themeShade="80"/>
        </w:rPr>
        <w:t>muy agresiva</w:t>
      </w:r>
      <w:r w:rsidRPr="004D1331">
        <w:rPr>
          <w:color w:val="4F6228" w:themeColor="accent3" w:themeShade="80"/>
        </w:rPr>
        <w:t>”, que hizo en su momento el ya entonces Ministro de Economía Luis de Guindos, en conversación con el Comisario de Economía Olli Rehn, probablemente a día de hoy sigue siendo la mejor y más sintética definición de su contenido.</w:t>
      </w:r>
    </w:p>
  </w:footnote>
  <w:footnote w:id="10">
    <w:p w:rsidR="0029468C" w:rsidRDefault="0029468C" w:rsidP="0091464D">
      <w:pPr>
        <w:pStyle w:val="Textonotapie"/>
        <w:jc w:val="both"/>
      </w:pPr>
      <w:r w:rsidRPr="004D1331">
        <w:rPr>
          <w:rStyle w:val="Refdenotaalpie"/>
          <w:color w:val="4F6228" w:themeColor="accent3" w:themeShade="80"/>
        </w:rPr>
        <w:footnoteRef/>
      </w:r>
      <w:r w:rsidRPr="004D1331">
        <w:rPr>
          <w:color w:val="4F6228" w:themeColor="accent3" w:themeShade="80"/>
        </w:rPr>
        <w:t xml:space="preserve"> El texto que sigue es un resumen de las propuestas realizadas conjuntamente por UGT y CCOO en esta materia.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68C" w:rsidRPr="00F31CF1" w:rsidRDefault="0029468C" w:rsidP="000F2937">
    <w:pPr>
      <w:pStyle w:val="Encabezado"/>
      <w:pBdr>
        <w:bottom w:val="single" w:sz="4" w:space="1" w:color="auto"/>
      </w:pBdr>
      <w:tabs>
        <w:tab w:val="clear" w:pos="8504"/>
        <w:tab w:val="right" w:pos="9356"/>
      </w:tabs>
      <w:ind w:right="-568"/>
      <w:rPr>
        <w:i/>
      </w:rPr>
    </w:pPr>
    <w:r w:rsidRPr="001D3810">
      <w:rPr>
        <w:b/>
        <w:i/>
        <w:color w:val="4F6228" w:themeColor="accent3" w:themeShade="80"/>
      </w:rPr>
      <w:t>Situación del Empleo en Andalucía  – 2º Semestre 2017 – Enero 2018</w:t>
    </w:r>
    <w:r w:rsidRPr="00C53E16">
      <w:rPr>
        <w:b/>
        <w:i/>
        <w:color w:val="00B050"/>
      </w:rPr>
      <w:t xml:space="preserve"> </w:t>
    </w:r>
    <w:r w:rsidRPr="00C53E16">
      <w:rPr>
        <w:b/>
        <w:i/>
        <w:color w:val="00B050"/>
      </w:rPr>
      <w:tab/>
    </w:r>
    <w:r>
      <w:rPr>
        <w:noProof/>
        <w:lang w:eastAsia="es-ES"/>
      </w:rPr>
      <w:drawing>
        <wp:inline distT="0" distB="0" distL="0" distR="0">
          <wp:extent cx="695325" cy="333375"/>
          <wp:effectExtent l="19050" t="0" r="9525" b="0"/>
          <wp:docPr id="4" name="Imagen 5" descr="LOGO UGT ANDALUC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UGT ANDALUCÍA"/>
                  <pic:cNvPicPr>
                    <a:picLocks noChangeAspect="1" noChangeArrowheads="1"/>
                  </pic:cNvPicPr>
                </pic:nvPicPr>
                <pic:blipFill>
                  <a:blip r:embed="rId1"/>
                  <a:srcRect/>
                  <a:stretch>
                    <a:fillRect/>
                  </a:stretch>
                </pic:blipFill>
                <pic:spPr bwMode="auto">
                  <a:xfrm>
                    <a:off x="0" y="0"/>
                    <a:ext cx="695325" cy="33337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A32C0"/>
    <w:multiLevelType w:val="hybridMultilevel"/>
    <w:tmpl w:val="371ECAB6"/>
    <w:lvl w:ilvl="0" w:tplc="4D2C1F98">
      <w:start w:val="1"/>
      <w:numFmt w:val="decimal"/>
      <w:lvlText w:val="%1."/>
      <w:lvlJc w:val="left"/>
      <w:pPr>
        <w:ind w:left="360" w:hanging="360"/>
      </w:pPr>
      <w:rPr>
        <w:rFonts w:hint="default"/>
        <w:b/>
        <w:color w:val="4F6228" w:themeColor="accent3" w:themeShade="80"/>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2FD4346"/>
    <w:multiLevelType w:val="hybridMultilevel"/>
    <w:tmpl w:val="3694332C"/>
    <w:lvl w:ilvl="0" w:tplc="9F96CE26">
      <w:start w:val="1"/>
      <w:numFmt w:val="decimal"/>
      <w:lvlText w:val="%1."/>
      <w:lvlJc w:val="left"/>
      <w:pPr>
        <w:ind w:left="720" w:hanging="360"/>
      </w:pPr>
      <w:rPr>
        <w:rFonts w:hint="default"/>
        <w:color w:val="4F6228" w:themeColor="accent3" w:themeShade="8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310D65"/>
    <w:multiLevelType w:val="hybridMultilevel"/>
    <w:tmpl w:val="525C0536"/>
    <w:lvl w:ilvl="0" w:tplc="2E7A79C8">
      <w:start w:val="1"/>
      <w:numFmt w:val="bullet"/>
      <w:lvlText w:val=""/>
      <w:lvlJc w:val="left"/>
      <w:pPr>
        <w:ind w:left="720" w:hanging="360"/>
      </w:pPr>
      <w:rPr>
        <w:rFonts w:ascii="Symbol" w:hAnsi="Symbol" w:hint="default"/>
        <w:color w:val="0099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5EE1D76"/>
    <w:multiLevelType w:val="hybridMultilevel"/>
    <w:tmpl w:val="B352C5B6"/>
    <w:lvl w:ilvl="0" w:tplc="76A07BBE">
      <w:start w:val="2009"/>
      <w:numFmt w:val="bullet"/>
      <w:lvlText w:val=""/>
      <w:lvlJc w:val="left"/>
      <w:pPr>
        <w:ind w:left="408" w:hanging="360"/>
      </w:pPr>
      <w:rPr>
        <w:rFonts w:ascii="Symbol" w:eastAsiaTheme="minorEastAsia" w:hAnsi="Symbol" w:cs="Times New Roman" w:hint="default"/>
      </w:rPr>
    </w:lvl>
    <w:lvl w:ilvl="1" w:tplc="0C0A0003" w:tentative="1">
      <w:start w:val="1"/>
      <w:numFmt w:val="bullet"/>
      <w:lvlText w:val="o"/>
      <w:lvlJc w:val="left"/>
      <w:pPr>
        <w:ind w:left="1128" w:hanging="360"/>
      </w:pPr>
      <w:rPr>
        <w:rFonts w:ascii="Courier New" w:hAnsi="Courier New" w:cs="Courier New" w:hint="default"/>
      </w:rPr>
    </w:lvl>
    <w:lvl w:ilvl="2" w:tplc="0C0A0005" w:tentative="1">
      <w:start w:val="1"/>
      <w:numFmt w:val="bullet"/>
      <w:lvlText w:val=""/>
      <w:lvlJc w:val="left"/>
      <w:pPr>
        <w:ind w:left="1848" w:hanging="360"/>
      </w:pPr>
      <w:rPr>
        <w:rFonts w:ascii="Wingdings" w:hAnsi="Wingdings" w:hint="default"/>
      </w:rPr>
    </w:lvl>
    <w:lvl w:ilvl="3" w:tplc="0C0A0001" w:tentative="1">
      <w:start w:val="1"/>
      <w:numFmt w:val="bullet"/>
      <w:lvlText w:val=""/>
      <w:lvlJc w:val="left"/>
      <w:pPr>
        <w:ind w:left="2568" w:hanging="360"/>
      </w:pPr>
      <w:rPr>
        <w:rFonts w:ascii="Symbol" w:hAnsi="Symbol" w:hint="default"/>
      </w:rPr>
    </w:lvl>
    <w:lvl w:ilvl="4" w:tplc="0C0A0003" w:tentative="1">
      <w:start w:val="1"/>
      <w:numFmt w:val="bullet"/>
      <w:lvlText w:val="o"/>
      <w:lvlJc w:val="left"/>
      <w:pPr>
        <w:ind w:left="3288" w:hanging="360"/>
      </w:pPr>
      <w:rPr>
        <w:rFonts w:ascii="Courier New" w:hAnsi="Courier New" w:cs="Courier New" w:hint="default"/>
      </w:rPr>
    </w:lvl>
    <w:lvl w:ilvl="5" w:tplc="0C0A0005" w:tentative="1">
      <w:start w:val="1"/>
      <w:numFmt w:val="bullet"/>
      <w:lvlText w:val=""/>
      <w:lvlJc w:val="left"/>
      <w:pPr>
        <w:ind w:left="4008" w:hanging="360"/>
      </w:pPr>
      <w:rPr>
        <w:rFonts w:ascii="Wingdings" w:hAnsi="Wingdings" w:hint="default"/>
      </w:rPr>
    </w:lvl>
    <w:lvl w:ilvl="6" w:tplc="0C0A0001" w:tentative="1">
      <w:start w:val="1"/>
      <w:numFmt w:val="bullet"/>
      <w:lvlText w:val=""/>
      <w:lvlJc w:val="left"/>
      <w:pPr>
        <w:ind w:left="4728" w:hanging="360"/>
      </w:pPr>
      <w:rPr>
        <w:rFonts w:ascii="Symbol" w:hAnsi="Symbol" w:hint="default"/>
      </w:rPr>
    </w:lvl>
    <w:lvl w:ilvl="7" w:tplc="0C0A0003" w:tentative="1">
      <w:start w:val="1"/>
      <w:numFmt w:val="bullet"/>
      <w:lvlText w:val="o"/>
      <w:lvlJc w:val="left"/>
      <w:pPr>
        <w:ind w:left="5448" w:hanging="360"/>
      </w:pPr>
      <w:rPr>
        <w:rFonts w:ascii="Courier New" w:hAnsi="Courier New" w:cs="Courier New" w:hint="default"/>
      </w:rPr>
    </w:lvl>
    <w:lvl w:ilvl="8" w:tplc="0C0A0005" w:tentative="1">
      <w:start w:val="1"/>
      <w:numFmt w:val="bullet"/>
      <w:lvlText w:val=""/>
      <w:lvlJc w:val="left"/>
      <w:pPr>
        <w:ind w:left="6168" w:hanging="360"/>
      </w:pPr>
      <w:rPr>
        <w:rFonts w:ascii="Wingdings" w:hAnsi="Wingdings" w:hint="default"/>
      </w:rPr>
    </w:lvl>
  </w:abstractNum>
  <w:abstractNum w:abstractNumId="4">
    <w:nsid w:val="08804DE8"/>
    <w:multiLevelType w:val="hybridMultilevel"/>
    <w:tmpl w:val="177A20B0"/>
    <w:lvl w:ilvl="0" w:tplc="26A62912">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B207575"/>
    <w:multiLevelType w:val="hybridMultilevel"/>
    <w:tmpl w:val="9C1678E6"/>
    <w:lvl w:ilvl="0" w:tplc="C352C4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B8D6248"/>
    <w:multiLevelType w:val="hybridMultilevel"/>
    <w:tmpl w:val="7B20EBA6"/>
    <w:lvl w:ilvl="0" w:tplc="52723216">
      <w:start w:val="1"/>
      <w:numFmt w:val="bullet"/>
      <w:lvlText w:val=""/>
      <w:lvlJc w:val="left"/>
      <w:pPr>
        <w:ind w:left="502"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D7C0A1C"/>
    <w:multiLevelType w:val="hybridMultilevel"/>
    <w:tmpl w:val="51A6CD80"/>
    <w:lvl w:ilvl="0" w:tplc="0C0A000D">
      <w:start w:val="1"/>
      <w:numFmt w:val="bullet"/>
      <w:lvlText w:val=""/>
      <w:lvlJc w:val="left"/>
      <w:pPr>
        <w:ind w:left="644" w:hanging="360"/>
      </w:pPr>
      <w:rPr>
        <w:rFonts w:ascii="Wingdings" w:hAnsi="Wingdings" w:hint="default"/>
      </w:rPr>
    </w:lvl>
    <w:lvl w:ilvl="1" w:tplc="0C0A0003">
      <w:start w:val="1"/>
      <w:numFmt w:val="bullet"/>
      <w:lvlText w:val="o"/>
      <w:lvlJc w:val="left"/>
      <w:pPr>
        <w:ind w:left="1364" w:hanging="360"/>
      </w:pPr>
      <w:rPr>
        <w:rFonts w:ascii="Courier New" w:hAnsi="Courier New" w:cs="Courier New" w:hint="default"/>
      </w:rPr>
    </w:lvl>
    <w:lvl w:ilvl="2" w:tplc="0C0A0005">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8">
    <w:nsid w:val="0DAA73EE"/>
    <w:multiLevelType w:val="hybridMultilevel"/>
    <w:tmpl w:val="EB7ED966"/>
    <w:lvl w:ilvl="0" w:tplc="8C54E79C">
      <w:numFmt w:val="bullet"/>
      <w:lvlText w:val=""/>
      <w:lvlJc w:val="left"/>
      <w:pPr>
        <w:ind w:left="1672" w:hanging="360"/>
      </w:pPr>
      <w:rPr>
        <w:rFonts w:ascii="Symbol" w:eastAsiaTheme="minorHAnsi" w:hAnsi="Symbol" w:cstheme="minorBidi" w:hint="default"/>
      </w:rPr>
    </w:lvl>
    <w:lvl w:ilvl="1" w:tplc="0C0A0003" w:tentative="1">
      <w:start w:val="1"/>
      <w:numFmt w:val="bullet"/>
      <w:lvlText w:val="o"/>
      <w:lvlJc w:val="left"/>
      <w:pPr>
        <w:ind w:left="2392" w:hanging="360"/>
      </w:pPr>
      <w:rPr>
        <w:rFonts w:ascii="Courier New" w:hAnsi="Courier New" w:cs="Courier New" w:hint="default"/>
      </w:rPr>
    </w:lvl>
    <w:lvl w:ilvl="2" w:tplc="0C0A0005" w:tentative="1">
      <w:start w:val="1"/>
      <w:numFmt w:val="bullet"/>
      <w:lvlText w:val=""/>
      <w:lvlJc w:val="left"/>
      <w:pPr>
        <w:ind w:left="3112" w:hanging="360"/>
      </w:pPr>
      <w:rPr>
        <w:rFonts w:ascii="Wingdings" w:hAnsi="Wingdings" w:hint="default"/>
      </w:rPr>
    </w:lvl>
    <w:lvl w:ilvl="3" w:tplc="0C0A0001" w:tentative="1">
      <w:start w:val="1"/>
      <w:numFmt w:val="bullet"/>
      <w:lvlText w:val=""/>
      <w:lvlJc w:val="left"/>
      <w:pPr>
        <w:ind w:left="3832" w:hanging="360"/>
      </w:pPr>
      <w:rPr>
        <w:rFonts w:ascii="Symbol" w:hAnsi="Symbol" w:hint="default"/>
      </w:rPr>
    </w:lvl>
    <w:lvl w:ilvl="4" w:tplc="0C0A0003" w:tentative="1">
      <w:start w:val="1"/>
      <w:numFmt w:val="bullet"/>
      <w:lvlText w:val="o"/>
      <w:lvlJc w:val="left"/>
      <w:pPr>
        <w:ind w:left="4552" w:hanging="360"/>
      </w:pPr>
      <w:rPr>
        <w:rFonts w:ascii="Courier New" w:hAnsi="Courier New" w:cs="Courier New" w:hint="default"/>
      </w:rPr>
    </w:lvl>
    <w:lvl w:ilvl="5" w:tplc="0C0A0005" w:tentative="1">
      <w:start w:val="1"/>
      <w:numFmt w:val="bullet"/>
      <w:lvlText w:val=""/>
      <w:lvlJc w:val="left"/>
      <w:pPr>
        <w:ind w:left="5272" w:hanging="360"/>
      </w:pPr>
      <w:rPr>
        <w:rFonts w:ascii="Wingdings" w:hAnsi="Wingdings" w:hint="default"/>
      </w:rPr>
    </w:lvl>
    <w:lvl w:ilvl="6" w:tplc="0C0A0001" w:tentative="1">
      <w:start w:val="1"/>
      <w:numFmt w:val="bullet"/>
      <w:lvlText w:val=""/>
      <w:lvlJc w:val="left"/>
      <w:pPr>
        <w:ind w:left="5992" w:hanging="360"/>
      </w:pPr>
      <w:rPr>
        <w:rFonts w:ascii="Symbol" w:hAnsi="Symbol" w:hint="default"/>
      </w:rPr>
    </w:lvl>
    <w:lvl w:ilvl="7" w:tplc="0C0A0003" w:tentative="1">
      <w:start w:val="1"/>
      <w:numFmt w:val="bullet"/>
      <w:lvlText w:val="o"/>
      <w:lvlJc w:val="left"/>
      <w:pPr>
        <w:ind w:left="6712" w:hanging="360"/>
      </w:pPr>
      <w:rPr>
        <w:rFonts w:ascii="Courier New" w:hAnsi="Courier New" w:cs="Courier New" w:hint="default"/>
      </w:rPr>
    </w:lvl>
    <w:lvl w:ilvl="8" w:tplc="0C0A0005" w:tentative="1">
      <w:start w:val="1"/>
      <w:numFmt w:val="bullet"/>
      <w:lvlText w:val=""/>
      <w:lvlJc w:val="left"/>
      <w:pPr>
        <w:ind w:left="7432" w:hanging="360"/>
      </w:pPr>
      <w:rPr>
        <w:rFonts w:ascii="Wingdings" w:hAnsi="Wingdings" w:hint="default"/>
      </w:rPr>
    </w:lvl>
  </w:abstractNum>
  <w:abstractNum w:abstractNumId="9">
    <w:nsid w:val="1A060193"/>
    <w:multiLevelType w:val="hybridMultilevel"/>
    <w:tmpl w:val="24506736"/>
    <w:lvl w:ilvl="0" w:tplc="F3AE03AA">
      <w:start w:val="1"/>
      <w:numFmt w:val="decimal"/>
      <w:lvlText w:val="%1."/>
      <w:lvlJc w:val="left"/>
      <w:pPr>
        <w:ind w:left="742" w:hanging="360"/>
      </w:pPr>
      <w:rPr>
        <w:b/>
        <w:i w:val="0"/>
        <w:color w:val="4F6228" w:themeColor="accent3" w:themeShade="80"/>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0">
    <w:nsid w:val="1BD26F02"/>
    <w:multiLevelType w:val="hybridMultilevel"/>
    <w:tmpl w:val="79E6E2A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D5C0885"/>
    <w:multiLevelType w:val="hybridMultilevel"/>
    <w:tmpl w:val="3ADA3314"/>
    <w:lvl w:ilvl="0" w:tplc="EFA2D11E">
      <w:start w:val="1"/>
      <w:numFmt w:val="bullet"/>
      <w:lvlText w:val=""/>
      <w:lvlJc w:val="left"/>
      <w:pPr>
        <w:ind w:left="720" w:hanging="360"/>
      </w:pPr>
      <w:rPr>
        <w:rFonts w:ascii="Symbol" w:hAnsi="Symbol" w:hint="default"/>
        <w:b w:val="0"/>
        <w:strike/>
        <w:dstrike w:val="0"/>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E960A9F"/>
    <w:multiLevelType w:val="hybridMultilevel"/>
    <w:tmpl w:val="3BC444A8"/>
    <w:lvl w:ilvl="0" w:tplc="DAC0747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1FAE7EE1"/>
    <w:multiLevelType w:val="hybridMultilevel"/>
    <w:tmpl w:val="E64A254C"/>
    <w:lvl w:ilvl="0" w:tplc="716CDDEA">
      <w:start w:val="2009"/>
      <w:numFmt w:val="bullet"/>
      <w:lvlText w:val=""/>
      <w:lvlJc w:val="left"/>
      <w:pPr>
        <w:ind w:left="502" w:hanging="360"/>
      </w:pPr>
      <w:rPr>
        <w:rFonts w:ascii="Symbol" w:eastAsiaTheme="minorEastAsia" w:hAnsi="Symbol" w:cs="Times New Roman"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14">
    <w:nsid w:val="20867EBE"/>
    <w:multiLevelType w:val="hybridMultilevel"/>
    <w:tmpl w:val="2BE4351E"/>
    <w:lvl w:ilvl="0" w:tplc="811CA414">
      <w:numFmt w:val="bullet"/>
      <w:lvlText w:val=""/>
      <w:lvlJc w:val="left"/>
      <w:pPr>
        <w:ind w:left="408" w:hanging="360"/>
      </w:pPr>
      <w:rPr>
        <w:rFonts w:ascii="Symbol" w:eastAsia="Calibri" w:hAnsi="Symbol" w:cs="Times New Roman" w:hint="default"/>
      </w:rPr>
    </w:lvl>
    <w:lvl w:ilvl="1" w:tplc="0C0A0003" w:tentative="1">
      <w:start w:val="1"/>
      <w:numFmt w:val="bullet"/>
      <w:lvlText w:val="o"/>
      <w:lvlJc w:val="left"/>
      <w:pPr>
        <w:ind w:left="1128" w:hanging="360"/>
      </w:pPr>
      <w:rPr>
        <w:rFonts w:ascii="Courier New" w:hAnsi="Courier New" w:cs="Courier New" w:hint="default"/>
      </w:rPr>
    </w:lvl>
    <w:lvl w:ilvl="2" w:tplc="0C0A0005" w:tentative="1">
      <w:start w:val="1"/>
      <w:numFmt w:val="bullet"/>
      <w:lvlText w:val=""/>
      <w:lvlJc w:val="left"/>
      <w:pPr>
        <w:ind w:left="1848" w:hanging="360"/>
      </w:pPr>
      <w:rPr>
        <w:rFonts w:ascii="Wingdings" w:hAnsi="Wingdings" w:hint="default"/>
      </w:rPr>
    </w:lvl>
    <w:lvl w:ilvl="3" w:tplc="0C0A0001" w:tentative="1">
      <w:start w:val="1"/>
      <w:numFmt w:val="bullet"/>
      <w:lvlText w:val=""/>
      <w:lvlJc w:val="left"/>
      <w:pPr>
        <w:ind w:left="2568" w:hanging="360"/>
      </w:pPr>
      <w:rPr>
        <w:rFonts w:ascii="Symbol" w:hAnsi="Symbol" w:hint="default"/>
      </w:rPr>
    </w:lvl>
    <w:lvl w:ilvl="4" w:tplc="0C0A0003" w:tentative="1">
      <w:start w:val="1"/>
      <w:numFmt w:val="bullet"/>
      <w:lvlText w:val="o"/>
      <w:lvlJc w:val="left"/>
      <w:pPr>
        <w:ind w:left="3288" w:hanging="360"/>
      </w:pPr>
      <w:rPr>
        <w:rFonts w:ascii="Courier New" w:hAnsi="Courier New" w:cs="Courier New" w:hint="default"/>
      </w:rPr>
    </w:lvl>
    <w:lvl w:ilvl="5" w:tplc="0C0A0005" w:tentative="1">
      <w:start w:val="1"/>
      <w:numFmt w:val="bullet"/>
      <w:lvlText w:val=""/>
      <w:lvlJc w:val="left"/>
      <w:pPr>
        <w:ind w:left="4008" w:hanging="360"/>
      </w:pPr>
      <w:rPr>
        <w:rFonts w:ascii="Wingdings" w:hAnsi="Wingdings" w:hint="default"/>
      </w:rPr>
    </w:lvl>
    <w:lvl w:ilvl="6" w:tplc="0C0A0001" w:tentative="1">
      <w:start w:val="1"/>
      <w:numFmt w:val="bullet"/>
      <w:lvlText w:val=""/>
      <w:lvlJc w:val="left"/>
      <w:pPr>
        <w:ind w:left="4728" w:hanging="360"/>
      </w:pPr>
      <w:rPr>
        <w:rFonts w:ascii="Symbol" w:hAnsi="Symbol" w:hint="default"/>
      </w:rPr>
    </w:lvl>
    <w:lvl w:ilvl="7" w:tplc="0C0A0003" w:tentative="1">
      <w:start w:val="1"/>
      <w:numFmt w:val="bullet"/>
      <w:lvlText w:val="o"/>
      <w:lvlJc w:val="left"/>
      <w:pPr>
        <w:ind w:left="5448" w:hanging="360"/>
      </w:pPr>
      <w:rPr>
        <w:rFonts w:ascii="Courier New" w:hAnsi="Courier New" w:cs="Courier New" w:hint="default"/>
      </w:rPr>
    </w:lvl>
    <w:lvl w:ilvl="8" w:tplc="0C0A0005" w:tentative="1">
      <w:start w:val="1"/>
      <w:numFmt w:val="bullet"/>
      <w:lvlText w:val=""/>
      <w:lvlJc w:val="left"/>
      <w:pPr>
        <w:ind w:left="6168" w:hanging="360"/>
      </w:pPr>
      <w:rPr>
        <w:rFonts w:ascii="Wingdings" w:hAnsi="Wingdings" w:hint="default"/>
      </w:rPr>
    </w:lvl>
  </w:abstractNum>
  <w:abstractNum w:abstractNumId="15">
    <w:nsid w:val="2BD24197"/>
    <w:multiLevelType w:val="hybridMultilevel"/>
    <w:tmpl w:val="863AF43C"/>
    <w:lvl w:ilvl="0" w:tplc="C352C412">
      <w:start w:val="1"/>
      <w:numFmt w:val="bullet"/>
      <w:lvlText w:val=""/>
      <w:lvlJc w:val="left"/>
      <w:pPr>
        <w:ind w:left="720" w:hanging="360"/>
      </w:pPr>
      <w:rPr>
        <w:rFonts w:ascii="Symbol" w:hAnsi="Symbol" w:hint="default"/>
      </w:rPr>
    </w:lvl>
    <w:lvl w:ilvl="1" w:tplc="6922CE54">
      <w:start w:val="1"/>
      <w:numFmt w:val="bullet"/>
      <w:lvlText w:val=""/>
      <w:lvlJc w:val="left"/>
      <w:pPr>
        <w:ind w:left="1440" w:hanging="360"/>
      </w:pPr>
      <w:rPr>
        <w:rFonts w:ascii="Symbol" w:hAnsi="Symbol" w:hint="default"/>
        <w:color w:val="4F6228" w:themeColor="accent3" w:themeShade="80"/>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7C551BD"/>
    <w:multiLevelType w:val="hybridMultilevel"/>
    <w:tmpl w:val="9E2A2C2A"/>
    <w:lvl w:ilvl="0" w:tplc="12A23BDA">
      <w:numFmt w:val="bullet"/>
      <w:lvlText w:val=""/>
      <w:lvlJc w:val="left"/>
      <w:pPr>
        <w:ind w:left="720" w:hanging="360"/>
      </w:pPr>
      <w:rPr>
        <w:rFonts w:ascii="Symbol" w:eastAsia="Calibr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9B5124E"/>
    <w:multiLevelType w:val="hybridMultilevel"/>
    <w:tmpl w:val="C61A7398"/>
    <w:lvl w:ilvl="0" w:tplc="52723216">
      <w:start w:val="1"/>
      <w:numFmt w:val="bullet"/>
      <w:lvlText w:val=""/>
      <w:lvlJc w:val="left"/>
      <w:pPr>
        <w:ind w:left="644" w:hanging="360"/>
      </w:pPr>
      <w:rPr>
        <w:rFonts w:ascii="Symbol" w:hAnsi="Symbol" w:hint="default"/>
      </w:rPr>
    </w:lvl>
    <w:lvl w:ilvl="1" w:tplc="0C0A0003">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8">
    <w:nsid w:val="429058E4"/>
    <w:multiLevelType w:val="hybridMultilevel"/>
    <w:tmpl w:val="42AA012A"/>
    <w:lvl w:ilvl="0" w:tplc="9C64119E">
      <w:numFmt w:val="bullet"/>
      <w:lvlText w:val=""/>
      <w:lvlJc w:val="left"/>
      <w:pPr>
        <w:ind w:left="444" w:hanging="360"/>
      </w:pPr>
      <w:rPr>
        <w:rFonts w:ascii="Symbol" w:eastAsiaTheme="minorHAnsi" w:hAnsi="Symbol" w:cstheme="minorBidi" w:hint="default"/>
      </w:rPr>
    </w:lvl>
    <w:lvl w:ilvl="1" w:tplc="0C0A0003" w:tentative="1">
      <w:start w:val="1"/>
      <w:numFmt w:val="bullet"/>
      <w:lvlText w:val="o"/>
      <w:lvlJc w:val="left"/>
      <w:pPr>
        <w:ind w:left="1164" w:hanging="360"/>
      </w:pPr>
      <w:rPr>
        <w:rFonts w:ascii="Courier New" w:hAnsi="Courier New" w:cs="Courier New" w:hint="default"/>
      </w:rPr>
    </w:lvl>
    <w:lvl w:ilvl="2" w:tplc="0C0A0005" w:tentative="1">
      <w:start w:val="1"/>
      <w:numFmt w:val="bullet"/>
      <w:lvlText w:val=""/>
      <w:lvlJc w:val="left"/>
      <w:pPr>
        <w:ind w:left="1884" w:hanging="360"/>
      </w:pPr>
      <w:rPr>
        <w:rFonts w:ascii="Wingdings" w:hAnsi="Wingdings" w:hint="default"/>
      </w:rPr>
    </w:lvl>
    <w:lvl w:ilvl="3" w:tplc="0C0A0001" w:tentative="1">
      <w:start w:val="1"/>
      <w:numFmt w:val="bullet"/>
      <w:lvlText w:val=""/>
      <w:lvlJc w:val="left"/>
      <w:pPr>
        <w:ind w:left="2604" w:hanging="360"/>
      </w:pPr>
      <w:rPr>
        <w:rFonts w:ascii="Symbol" w:hAnsi="Symbol" w:hint="default"/>
      </w:rPr>
    </w:lvl>
    <w:lvl w:ilvl="4" w:tplc="0C0A0003" w:tentative="1">
      <w:start w:val="1"/>
      <w:numFmt w:val="bullet"/>
      <w:lvlText w:val="o"/>
      <w:lvlJc w:val="left"/>
      <w:pPr>
        <w:ind w:left="3324" w:hanging="360"/>
      </w:pPr>
      <w:rPr>
        <w:rFonts w:ascii="Courier New" w:hAnsi="Courier New" w:cs="Courier New" w:hint="default"/>
      </w:rPr>
    </w:lvl>
    <w:lvl w:ilvl="5" w:tplc="0C0A0005" w:tentative="1">
      <w:start w:val="1"/>
      <w:numFmt w:val="bullet"/>
      <w:lvlText w:val=""/>
      <w:lvlJc w:val="left"/>
      <w:pPr>
        <w:ind w:left="4044" w:hanging="360"/>
      </w:pPr>
      <w:rPr>
        <w:rFonts w:ascii="Wingdings" w:hAnsi="Wingdings" w:hint="default"/>
      </w:rPr>
    </w:lvl>
    <w:lvl w:ilvl="6" w:tplc="0C0A0001" w:tentative="1">
      <w:start w:val="1"/>
      <w:numFmt w:val="bullet"/>
      <w:lvlText w:val=""/>
      <w:lvlJc w:val="left"/>
      <w:pPr>
        <w:ind w:left="4764" w:hanging="360"/>
      </w:pPr>
      <w:rPr>
        <w:rFonts w:ascii="Symbol" w:hAnsi="Symbol" w:hint="default"/>
      </w:rPr>
    </w:lvl>
    <w:lvl w:ilvl="7" w:tplc="0C0A0003" w:tentative="1">
      <w:start w:val="1"/>
      <w:numFmt w:val="bullet"/>
      <w:lvlText w:val="o"/>
      <w:lvlJc w:val="left"/>
      <w:pPr>
        <w:ind w:left="5484" w:hanging="360"/>
      </w:pPr>
      <w:rPr>
        <w:rFonts w:ascii="Courier New" w:hAnsi="Courier New" w:cs="Courier New" w:hint="default"/>
      </w:rPr>
    </w:lvl>
    <w:lvl w:ilvl="8" w:tplc="0C0A0005" w:tentative="1">
      <w:start w:val="1"/>
      <w:numFmt w:val="bullet"/>
      <w:lvlText w:val=""/>
      <w:lvlJc w:val="left"/>
      <w:pPr>
        <w:ind w:left="6204" w:hanging="360"/>
      </w:pPr>
      <w:rPr>
        <w:rFonts w:ascii="Wingdings" w:hAnsi="Wingdings" w:hint="default"/>
      </w:rPr>
    </w:lvl>
  </w:abstractNum>
  <w:abstractNum w:abstractNumId="19">
    <w:nsid w:val="52444AC4"/>
    <w:multiLevelType w:val="hybridMultilevel"/>
    <w:tmpl w:val="5AB41BF0"/>
    <w:lvl w:ilvl="0" w:tplc="2BFE3450">
      <w:start w:val="2009"/>
      <w:numFmt w:val="bullet"/>
      <w:lvlText w:val=""/>
      <w:lvlJc w:val="left"/>
      <w:pPr>
        <w:ind w:left="408" w:hanging="360"/>
      </w:pPr>
      <w:rPr>
        <w:rFonts w:ascii="Symbol" w:eastAsiaTheme="minorEastAsia" w:hAnsi="Symbol" w:cs="Times New Roman" w:hint="default"/>
      </w:rPr>
    </w:lvl>
    <w:lvl w:ilvl="1" w:tplc="0C0A0003" w:tentative="1">
      <w:start w:val="1"/>
      <w:numFmt w:val="bullet"/>
      <w:lvlText w:val="o"/>
      <w:lvlJc w:val="left"/>
      <w:pPr>
        <w:ind w:left="1128" w:hanging="360"/>
      </w:pPr>
      <w:rPr>
        <w:rFonts w:ascii="Courier New" w:hAnsi="Courier New" w:cs="Courier New" w:hint="default"/>
      </w:rPr>
    </w:lvl>
    <w:lvl w:ilvl="2" w:tplc="0C0A0005" w:tentative="1">
      <w:start w:val="1"/>
      <w:numFmt w:val="bullet"/>
      <w:lvlText w:val=""/>
      <w:lvlJc w:val="left"/>
      <w:pPr>
        <w:ind w:left="1848" w:hanging="360"/>
      </w:pPr>
      <w:rPr>
        <w:rFonts w:ascii="Wingdings" w:hAnsi="Wingdings" w:hint="default"/>
      </w:rPr>
    </w:lvl>
    <w:lvl w:ilvl="3" w:tplc="0C0A0001" w:tentative="1">
      <w:start w:val="1"/>
      <w:numFmt w:val="bullet"/>
      <w:lvlText w:val=""/>
      <w:lvlJc w:val="left"/>
      <w:pPr>
        <w:ind w:left="2568" w:hanging="360"/>
      </w:pPr>
      <w:rPr>
        <w:rFonts w:ascii="Symbol" w:hAnsi="Symbol" w:hint="default"/>
      </w:rPr>
    </w:lvl>
    <w:lvl w:ilvl="4" w:tplc="0C0A0003" w:tentative="1">
      <w:start w:val="1"/>
      <w:numFmt w:val="bullet"/>
      <w:lvlText w:val="o"/>
      <w:lvlJc w:val="left"/>
      <w:pPr>
        <w:ind w:left="3288" w:hanging="360"/>
      </w:pPr>
      <w:rPr>
        <w:rFonts w:ascii="Courier New" w:hAnsi="Courier New" w:cs="Courier New" w:hint="default"/>
      </w:rPr>
    </w:lvl>
    <w:lvl w:ilvl="5" w:tplc="0C0A0005" w:tentative="1">
      <w:start w:val="1"/>
      <w:numFmt w:val="bullet"/>
      <w:lvlText w:val=""/>
      <w:lvlJc w:val="left"/>
      <w:pPr>
        <w:ind w:left="4008" w:hanging="360"/>
      </w:pPr>
      <w:rPr>
        <w:rFonts w:ascii="Wingdings" w:hAnsi="Wingdings" w:hint="default"/>
      </w:rPr>
    </w:lvl>
    <w:lvl w:ilvl="6" w:tplc="0C0A0001" w:tentative="1">
      <w:start w:val="1"/>
      <w:numFmt w:val="bullet"/>
      <w:lvlText w:val=""/>
      <w:lvlJc w:val="left"/>
      <w:pPr>
        <w:ind w:left="4728" w:hanging="360"/>
      </w:pPr>
      <w:rPr>
        <w:rFonts w:ascii="Symbol" w:hAnsi="Symbol" w:hint="default"/>
      </w:rPr>
    </w:lvl>
    <w:lvl w:ilvl="7" w:tplc="0C0A0003" w:tentative="1">
      <w:start w:val="1"/>
      <w:numFmt w:val="bullet"/>
      <w:lvlText w:val="o"/>
      <w:lvlJc w:val="left"/>
      <w:pPr>
        <w:ind w:left="5448" w:hanging="360"/>
      </w:pPr>
      <w:rPr>
        <w:rFonts w:ascii="Courier New" w:hAnsi="Courier New" w:cs="Courier New" w:hint="default"/>
      </w:rPr>
    </w:lvl>
    <w:lvl w:ilvl="8" w:tplc="0C0A0005" w:tentative="1">
      <w:start w:val="1"/>
      <w:numFmt w:val="bullet"/>
      <w:lvlText w:val=""/>
      <w:lvlJc w:val="left"/>
      <w:pPr>
        <w:ind w:left="6168" w:hanging="360"/>
      </w:pPr>
      <w:rPr>
        <w:rFonts w:ascii="Wingdings" w:hAnsi="Wingdings" w:hint="default"/>
      </w:rPr>
    </w:lvl>
  </w:abstractNum>
  <w:abstractNum w:abstractNumId="20">
    <w:nsid w:val="53EB279B"/>
    <w:multiLevelType w:val="hybridMultilevel"/>
    <w:tmpl w:val="37AE958A"/>
    <w:lvl w:ilvl="0" w:tplc="C352C4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9915E53"/>
    <w:multiLevelType w:val="hybridMultilevel"/>
    <w:tmpl w:val="B0FE7394"/>
    <w:lvl w:ilvl="0" w:tplc="C352C4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86658C0"/>
    <w:multiLevelType w:val="hybridMultilevel"/>
    <w:tmpl w:val="0CBCE79C"/>
    <w:lvl w:ilvl="0" w:tplc="C352C4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A5E60E7"/>
    <w:multiLevelType w:val="hybridMultilevel"/>
    <w:tmpl w:val="509C00E2"/>
    <w:lvl w:ilvl="0" w:tplc="FED8687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F5315A7"/>
    <w:multiLevelType w:val="hybridMultilevel"/>
    <w:tmpl w:val="BC548214"/>
    <w:lvl w:ilvl="0" w:tplc="5272321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97F4A65"/>
    <w:multiLevelType w:val="hybridMultilevel"/>
    <w:tmpl w:val="71961546"/>
    <w:lvl w:ilvl="0" w:tplc="0C0A000B">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6">
    <w:nsid w:val="7DA863DE"/>
    <w:multiLevelType w:val="hybridMultilevel"/>
    <w:tmpl w:val="D8641818"/>
    <w:lvl w:ilvl="0" w:tplc="2A509198">
      <w:numFmt w:val="bullet"/>
      <w:lvlText w:val=""/>
      <w:lvlJc w:val="left"/>
      <w:pPr>
        <w:ind w:left="396" w:hanging="360"/>
      </w:pPr>
      <w:rPr>
        <w:rFonts w:ascii="Symbol" w:eastAsiaTheme="minorHAnsi" w:hAnsi="Symbol" w:cstheme="minorBidi" w:hint="default"/>
      </w:rPr>
    </w:lvl>
    <w:lvl w:ilvl="1" w:tplc="0C0A0003" w:tentative="1">
      <w:start w:val="1"/>
      <w:numFmt w:val="bullet"/>
      <w:lvlText w:val="o"/>
      <w:lvlJc w:val="left"/>
      <w:pPr>
        <w:ind w:left="1116" w:hanging="360"/>
      </w:pPr>
      <w:rPr>
        <w:rFonts w:ascii="Courier New" w:hAnsi="Courier New" w:cs="Courier New" w:hint="default"/>
      </w:rPr>
    </w:lvl>
    <w:lvl w:ilvl="2" w:tplc="0C0A0005" w:tentative="1">
      <w:start w:val="1"/>
      <w:numFmt w:val="bullet"/>
      <w:lvlText w:val=""/>
      <w:lvlJc w:val="left"/>
      <w:pPr>
        <w:ind w:left="1836" w:hanging="360"/>
      </w:pPr>
      <w:rPr>
        <w:rFonts w:ascii="Wingdings" w:hAnsi="Wingdings" w:hint="default"/>
      </w:rPr>
    </w:lvl>
    <w:lvl w:ilvl="3" w:tplc="0C0A0001" w:tentative="1">
      <w:start w:val="1"/>
      <w:numFmt w:val="bullet"/>
      <w:lvlText w:val=""/>
      <w:lvlJc w:val="left"/>
      <w:pPr>
        <w:ind w:left="2556" w:hanging="360"/>
      </w:pPr>
      <w:rPr>
        <w:rFonts w:ascii="Symbol" w:hAnsi="Symbol" w:hint="default"/>
      </w:rPr>
    </w:lvl>
    <w:lvl w:ilvl="4" w:tplc="0C0A0003" w:tentative="1">
      <w:start w:val="1"/>
      <w:numFmt w:val="bullet"/>
      <w:lvlText w:val="o"/>
      <w:lvlJc w:val="left"/>
      <w:pPr>
        <w:ind w:left="3276" w:hanging="360"/>
      </w:pPr>
      <w:rPr>
        <w:rFonts w:ascii="Courier New" w:hAnsi="Courier New" w:cs="Courier New" w:hint="default"/>
      </w:rPr>
    </w:lvl>
    <w:lvl w:ilvl="5" w:tplc="0C0A0005" w:tentative="1">
      <w:start w:val="1"/>
      <w:numFmt w:val="bullet"/>
      <w:lvlText w:val=""/>
      <w:lvlJc w:val="left"/>
      <w:pPr>
        <w:ind w:left="3996" w:hanging="360"/>
      </w:pPr>
      <w:rPr>
        <w:rFonts w:ascii="Wingdings" w:hAnsi="Wingdings" w:hint="default"/>
      </w:rPr>
    </w:lvl>
    <w:lvl w:ilvl="6" w:tplc="0C0A0001" w:tentative="1">
      <w:start w:val="1"/>
      <w:numFmt w:val="bullet"/>
      <w:lvlText w:val=""/>
      <w:lvlJc w:val="left"/>
      <w:pPr>
        <w:ind w:left="4716" w:hanging="360"/>
      </w:pPr>
      <w:rPr>
        <w:rFonts w:ascii="Symbol" w:hAnsi="Symbol" w:hint="default"/>
      </w:rPr>
    </w:lvl>
    <w:lvl w:ilvl="7" w:tplc="0C0A0003" w:tentative="1">
      <w:start w:val="1"/>
      <w:numFmt w:val="bullet"/>
      <w:lvlText w:val="o"/>
      <w:lvlJc w:val="left"/>
      <w:pPr>
        <w:ind w:left="5436" w:hanging="360"/>
      </w:pPr>
      <w:rPr>
        <w:rFonts w:ascii="Courier New" w:hAnsi="Courier New" w:cs="Courier New" w:hint="default"/>
      </w:rPr>
    </w:lvl>
    <w:lvl w:ilvl="8" w:tplc="0C0A0005" w:tentative="1">
      <w:start w:val="1"/>
      <w:numFmt w:val="bullet"/>
      <w:lvlText w:val=""/>
      <w:lvlJc w:val="left"/>
      <w:pPr>
        <w:ind w:left="6156" w:hanging="360"/>
      </w:pPr>
      <w:rPr>
        <w:rFonts w:ascii="Wingdings" w:hAnsi="Wingdings" w:hint="default"/>
      </w:rPr>
    </w:lvl>
  </w:abstractNum>
  <w:num w:numId="1">
    <w:abstractNumId w:val="4"/>
  </w:num>
  <w:num w:numId="2">
    <w:abstractNumId w:val="26"/>
  </w:num>
  <w:num w:numId="3">
    <w:abstractNumId w:val="18"/>
  </w:num>
  <w:num w:numId="4">
    <w:abstractNumId w:val="1"/>
  </w:num>
  <w:num w:numId="5">
    <w:abstractNumId w:val="10"/>
  </w:num>
  <w:num w:numId="6">
    <w:abstractNumId w:val="22"/>
  </w:num>
  <w:num w:numId="7">
    <w:abstractNumId w:val="5"/>
  </w:num>
  <w:num w:numId="8">
    <w:abstractNumId w:val="25"/>
  </w:num>
  <w:num w:numId="9">
    <w:abstractNumId w:val="17"/>
  </w:num>
  <w:num w:numId="10">
    <w:abstractNumId w:val="24"/>
  </w:num>
  <w:num w:numId="11">
    <w:abstractNumId w:val="21"/>
  </w:num>
  <w:num w:numId="12">
    <w:abstractNumId w:val="6"/>
  </w:num>
  <w:num w:numId="13">
    <w:abstractNumId w:val="23"/>
  </w:num>
  <w:num w:numId="14">
    <w:abstractNumId w:val="20"/>
  </w:num>
  <w:num w:numId="15">
    <w:abstractNumId w:val="13"/>
  </w:num>
  <w:num w:numId="16">
    <w:abstractNumId w:val="3"/>
  </w:num>
  <w:num w:numId="17">
    <w:abstractNumId w:val="2"/>
  </w:num>
  <w:num w:numId="18">
    <w:abstractNumId w:val="16"/>
  </w:num>
  <w:num w:numId="19">
    <w:abstractNumId w:val="14"/>
  </w:num>
  <w:num w:numId="20">
    <w:abstractNumId w:val="19"/>
  </w:num>
  <w:num w:numId="21">
    <w:abstractNumId w:val="11"/>
  </w:num>
  <w:num w:numId="22">
    <w:abstractNumId w:val="12"/>
  </w:num>
  <w:num w:numId="23">
    <w:abstractNumId w:val="7"/>
  </w:num>
  <w:num w:numId="24">
    <w:abstractNumId w:val="8"/>
  </w:num>
  <w:num w:numId="25">
    <w:abstractNumId w:val="0"/>
  </w:num>
  <w:num w:numId="26">
    <w:abstractNumId w:val="9"/>
  </w:num>
  <w:num w:numId="27">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9026"/>
  </w:hdrShapeDefaults>
  <w:footnotePr>
    <w:footnote w:id="0"/>
    <w:footnote w:id="1"/>
  </w:footnotePr>
  <w:endnotePr>
    <w:endnote w:id="0"/>
    <w:endnote w:id="1"/>
  </w:endnotePr>
  <w:compat/>
  <w:rsids>
    <w:rsidRoot w:val="00AC5ECC"/>
    <w:rsid w:val="000021D6"/>
    <w:rsid w:val="0001259F"/>
    <w:rsid w:val="000206F8"/>
    <w:rsid w:val="00026031"/>
    <w:rsid w:val="00027E77"/>
    <w:rsid w:val="00031CAD"/>
    <w:rsid w:val="00040DE0"/>
    <w:rsid w:val="00043876"/>
    <w:rsid w:val="00046B1B"/>
    <w:rsid w:val="00047980"/>
    <w:rsid w:val="00047E48"/>
    <w:rsid w:val="00051731"/>
    <w:rsid w:val="000523F3"/>
    <w:rsid w:val="00053F82"/>
    <w:rsid w:val="00070022"/>
    <w:rsid w:val="000721C4"/>
    <w:rsid w:val="00073990"/>
    <w:rsid w:val="00076ED7"/>
    <w:rsid w:val="00077C05"/>
    <w:rsid w:val="000826E6"/>
    <w:rsid w:val="00083DAB"/>
    <w:rsid w:val="000840DF"/>
    <w:rsid w:val="0009090B"/>
    <w:rsid w:val="00096C43"/>
    <w:rsid w:val="000A3449"/>
    <w:rsid w:val="000A435C"/>
    <w:rsid w:val="000B532E"/>
    <w:rsid w:val="000B6DA5"/>
    <w:rsid w:val="000B7A54"/>
    <w:rsid w:val="000C12ED"/>
    <w:rsid w:val="000D4CEF"/>
    <w:rsid w:val="000F2937"/>
    <w:rsid w:val="000F4BEF"/>
    <w:rsid w:val="000F6478"/>
    <w:rsid w:val="000F74F8"/>
    <w:rsid w:val="00100AC3"/>
    <w:rsid w:val="0010434C"/>
    <w:rsid w:val="00117567"/>
    <w:rsid w:val="00120F4D"/>
    <w:rsid w:val="001220D5"/>
    <w:rsid w:val="001266D2"/>
    <w:rsid w:val="001274C1"/>
    <w:rsid w:val="0012788F"/>
    <w:rsid w:val="0013240B"/>
    <w:rsid w:val="0013443A"/>
    <w:rsid w:val="00142D60"/>
    <w:rsid w:val="001532CB"/>
    <w:rsid w:val="001548D9"/>
    <w:rsid w:val="0016019A"/>
    <w:rsid w:val="00160B26"/>
    <w:rsid w:val="001615BC"/>
    <w:rsid w:val="0016516C"/>
    <w:rsid w:val="00167743"/>
    <w:rsid w:val="001709A1"/>
    <w:rsid w:val="001747AF"/>
    <w:rsid w:val="00174C4F"/>
    <w:rsid w:val="00176FF0"/>
    <w:rsid w:val="001801CA"/>
    <w:rsid w:val="00185532"/>
    <w:rsid w:val="00185C9A"/>
    <w:rsid w:val="00187E61"/>
    <w:rsid w:val="001924E0"/>
    <w:rsid w:val="00193F1A"/>
    <w:rsid w:val="00197CC0"/>
    <w:rsid w:val="001A1E66"/>
    <w:rsid w:val="001A2233"/>
    <w:rsid w:val="001B0A78"/>
    <w:rsid w:val="001B6257"/>
    <w:rsid w:val="001C26FC"/>
    <w:rsid w:val="001D23C7"/>
    <w:rsid w:val="001D3118"/>
    <w:rsid w:val="001D32E3"/>
    <w:rsid w:val="001D3810"/>
    <w:rsid w:val="001E1D77"/>
    <w:rsid w:val="001E2FB6"/>
    <w:rsid w:val="001E4E61"/>
    <w:rsid w:val="001F0A2F"/>
    <w:rsid w:val="001F12C4"/>
    <w:rsid w:val="001F17E2"/>
    <w:rsid w:val="00200078"/>
    <w:rsid w:val="00204F84"/>
    <w:rsid w:val="002053C7"/>
    <w:rsid w:val="002115AD"/>
    <w:rsid w:val="00223546"/>
    <w:rsid w:val="00231C97"/>
    <w:rsid w:val="0024505B"/>
    <w:rsid w:val="002539C1"/>
    <w:rsid w:val="00253CE2"/>
    <w:rsid w:val="0026018B"/>
    <w:rsid w:val="002611C7"/>
    <w:rsid w:val="00275311"/>
    <w:rsid w:val="00276345"/>
    <w:rsid w:val="00281A3C"/>
    <w:rsid w:val="0028400B"/>
    <w:rsid w:val="00287765"/>
    <w:rsid w:val="00291073"/>
    <w:rsid w:val="0029468C"/>
    <w:rsid w:val="002A1187"/>
    <w:rsid w:val="002A1884"/>
    <w:rsid w:val="002A2B26"/>
    <w:rsid w:val="002A5435"/>
    <w:rsid w:val="002A5750"/>
    <w:rsid w:val="002A5FD9"/>
    <w:rsid w:val="002B0EF7"/>
    <w:rsid w:val="002B5F56"/>
    <w:rsid w:val="002B6332"/>
    <w:rsid w:val="002C008D"/>
    <w:rsid w:val="002C18D3"/>
    <w:rsid w:val="002C4FE2"/>
    <w:rsid w:val="002C5AC9"/>
    <w:rsid w:val="002C6A5B"/>
    <w:rsid w:val="002D09E3"/>
    <w:rsid w:val="002D5343"/>
    <w:rsid w:val="002E1834"/>
    <w:rsid w:val="002E26C0"/>
    <w:rsid w:val="002F3311"/>
    <w:rsid w:val="002F6114"/>
    <w:rsid w:val="00310507"/>
    <w:rsid w:val="00311A3E"/>
    <w:rsid w:val="00313BB7"/>
    <w:rsid w:val="003206BF"/>
    <w:rsid w:val="003224D7"/>
    <w:rsid w:val="003252C3"/>
    <w:rsid w:val="00341276"/>
    <w:rsid w:val="00343B0D"/>
    <w:rsid w:val="00343E51"/>
    <w:rsid w:val="00350DF0"/>
    <w:rsid w:val="0035133F"/>
    <w:rsid w:val="00356478"/>
    <w:rsid w:val="00366FAD"/>
    <w:rsid w:val="00373CF9"/>
    <w:rsid w:val="00374802"/>
    <w:rsid w:val="00376B24"/>
    <w:rsid w:val="003801DB"/>
    <w:rsid w:val="0038100C"/>
    <w:rsid w:val="00381F9A"/>
    <w:rsid w:val="00382FB9"/>
    <w:rsid w:val="00383B0B"/>
    <w:rsid w:val="00384FB6"/>
    <w:rsid w:val="00385A76"/>
    <w:rsid w:val="00386EB3"/>
    <w:rsid w:val="00387CAA"/>
    <w:rsid w:val="003916E4"/>
    <w:rsid w:val="0039480A"/>
    <w:rsid w:val="00396B9E"/>
    <w:rsid w:val="0039701D"/>
    <w:rsid w:val="003A3DB4"/>
    <w:rsid w:val="003B6ABD"/>
    <w:rsid w:val="003B6D9D"/>
    <w:rsid w:val="003B7A8D"/>
    <w:rsid w:val="003B7CA1"/>
    <w:rsid w:val="003C1313"/>
    <w:rsid w:val="003C7551"/>
    <w:rsid w:val="003D2960"/>
    <w:rsid w:val="003D4860"/>
    <w:rsid w:val="003D5F30"/>
    <w:rsid w:val="003D7F90"/>
    <w:rsid w:val="003E038C"/>
    <w:rsid w:val="003E1031"/>
    <w:rsid w:val="003E4301"/>
    <w:rsid w:val="003F0DF7"/>
    <w:rsid w:val="003F3EF0"/>
    <w:rsid w:val="003F5705"/>
    <w:rsid w:val="004106C3"/>
    <w:rsid w:val="00411683"/>
    <w:rsid w:val="00417847"/>
    <w:rsid w:val="00426874"/>
    <w:rsid w:val="0043011D"/>
    <w:rsid w:val="004349F4"/>
    <w:rsid w:val="00441744"/>
    <w:rsid w:val="00442152"/>
    <w:rsid w:val="00444E28"/>
    <w:rsid w:val="004473B5"/>
    <w:rsid w:val="004514B7"/>
    <w:rsid w:val="00454989"/>
    <w:rsid w:val="00456190"/>
    <w:rsid w:val="004626AC"/>
    <w:rsid w:val="00463AFC"/>
    <w:rsid w:val="00467798"/>
    <w:rsid w:val="00467D53"/>
    <w:rsid w:val="00470315"/>
    <w:rsid w:val="004710EE"/>
    <w:rsid w:val="00480F23"/>
    <w:rsid w:val="0048352F"/>
    <w:rsid w:val="004865E4"/>
    <w:rsid w:val="00493D88"/>
    <w:rsid w:val="00495ED7"/>
    <w:rsid w:val="00497C18"/>
    <w:rsid w:val="00497F49"/>
    <w:rsid w:val="004A23AC"/>
    <w:rsid w:val="004B26EF"/>
    <w:rsid w:val="004B6734"/>
    <w:rsid w:val="004B6957"/>
    <w:rsid w:val="004B7433"/>
    <w:rsid w:val="004C0090"/>
    <w:rsid w:val="004C0566"/>
    <w:rsid w:val="004C1949"/>
    <w:rsid w:val="004C3F3C"/>
    <w:rsid w:val="004D1331"/>
    <w:rsid w:val="004D7AAE"/>
    <w:rsid w:val="004E4B0A"/>
    <w:rsid w:val="004F05FB"/>
    <w:rsid w:val="004F3200"/>
    <w:rsid w:val="00500CA4"/>
    <w:rsid w:val="00502D63"/>
    <w:rsid w:val="00505B61"/>
    <w:rsid w:val="00511059"/>
    <w:rsid w:val="005154B9"/>
    <w:rsid w:val="00516D2A"/>
    <w:rsid w:val="005236A6"/>
    <w:rsid w:val="00525AC6"/>
    <w:rsid w:val="00532E4F"/>
    <w:rsid w:val="0053502D"/>
    <w:rsid w:val="0053589D"/>
    <w:rsid w:val="00536899"/>
    <w:rsid w:val="00537E55"/>
    <w:rsid w:val="00541CD0"/>
    <w:rsid w:val="005506E8"/>
    <w:rsid w:val="00550E02"/>
    <w:rsid w:val="00553CE5"/>
    <w:rsid w:val="00557FD0"/>
    <w:rsid w:val="0056149D"/>
    <w:rsid w:val="00563C9D"/>
    <w:rsid w:val="00563E19"/>
    <w:rsid w:val="00564EB5"/>
    <w:rsid w:val="00570F4A"/>
    <w:rsid w:val="00573527"/>
    <w:rsid w:val="0057715E"/>
    <w:rsid w:val="00586591"/>
    <w:rsid w:val="005969F7"/>
    <w:rsid w:val="005974BC"/>
    <w:rsid w:val="005A268D"/>
    <w:rsid w:val="005A66E1"/>
    <w:rsid w:val="005B3CCB"/>
    <w:rsid w:val="005B718F"/>
    <w:rsid w:val="005C4F8E"/>
    <w:rsid w:val="005D0DB1"/>
    <w:rsid w:val="005E0553"/>
    <w:rsid w:val="005E0B45"/>
    <w:rsid w:val="005E4E48"/>
    <w:rsid w:val="005E68B9"/>
    <w:rsid w:val="005F687A"/>
    <w:rsid w:val="00611A9E"/>
    <w:rsid w:val="0061355B"/>
    <w:rsid w:val="00613DC7"/>
    <w:rsid w:val="00614428"/>
    <w:rsid w:val="00614E1A"/>
    <w:rsid w:val="00616124"/>
    <w:rsid w:val="00621822"/>
    <w:rsid w:val="00623757"/>
    <w:rsid w:val="00623BD9"/>
    <w:rsid w:val="00630FC7"/>
    <w:rsid w:val="006373BA"/>
    <w:rsid w:val="00637518"/>
    <w:rsid w:val="00642294"/>
    <w:rsid w:val="00642B1F"/>
    <w:rsid w:val="00645178"/>
    <w:rsid w:val="00661223"/>
    <w:rsid w:val="00673CF5"/>
    <w:rsid w:val="00681A58"/>
    <w:rsid w:val="00684787"/>
    <w:rsid w:val="006873BD"/>
    <w:rsid w:val="00694B76"/>
    <w:rsid w:val="0069544F"/>
    <w:rsid w:val="00696ABD"/>
    <w:rsid w:val="006B365C"/>
    <w:rsid w:val="006B79CA"/>
    <w:rsid w:val="006C7495"/>
    <w:rsid w:val="006D0BDA"/>
    <w:rsid w:val="006D5612"/>
    <w:rsid w:val="006E1F3E"/>
    <w:rsid w:val="006E42B0"/>
    <w:rsid w:val="006E5371"/>
    <w:rsid w:val="006E5B52"/>
    <w:rsid w:val="006E6FD1"/>
    <w:rsid w:val="006E7442"/>
    <w:rsid w:val="006F56DD"/>
    <w:rsid w:val="00702536"/>
    <w:rsid w:val="007032D2"/>
    <w:rsid w:val="00704A66"/>
    <w:rsid w:val="00705F29"/>
    <w:rsid w:val="0070635D"/>
    <w:rsid w:val="007108EC"/>
    <w:rsid w:val="00710D71"/>
    <w:rsid w:val="00714FD6"/>
    <w:rsid w:val="00716F6A"/>
    <w:rsid w:val="007173FF"/>
    <w:rsid w:val="00721307"/>
    <w:rsid w:val="00722D5C"/>
    <w:rsid w:val="00725981"/>
    <w:rsid w:val="007300C1"/>
    <w:rsid w:val="00741B5F"/>
    <w:rsid w:val="00744A94"/>
    <w:rsid w:val="00744B31"/>
    <w:rsid w:val="0074586E"/>
    <w:rsid w:val="00750D76"/>
    <w:rsid w:val="00751862"/>
    <w:rsid w:val="00756CAE"/>
    <w:rsid w:val="00766461"/>
    <w:rsid w:val="00767046"/>
    <w:rsid w:val="00767619"/>
    <w:rsid w:val="0077006E"/>
    <w:rsid w:val="00770392"/>
    <w:rsid w:val="00770523"/>
    <w:rsid w:val="00771D4D"/>
    <w:rsid w:val="00772F0D"/>
    <w:rsid w:val="007732E3"/>
    <w:rsid w:val="00774FB4"/>
    <w:rsid w:val="0078551F"/>
    <w:rsid w:val="0079053A"/>
    <w:rsid w:val="00791F18"/>
    <w:rsid w:val="00792C16"/>
    <w:rsid w:val="007A0E6D"/>
    <w:rsid w:val="007B0B03"/>
    <w:rsid w:val="007B14C3"/>
    <w:rsid w:val="007B1758"/>
    <w:rsid w:val="007B3564"/>
    <w:rsid w:val="007C1193"/>
    <w:rsid w:val="007C6E3A"/>
    <w:rsid w:val="007D298C"/>
    <w:rsid w:val="007D7082"/>
    <w:rsid w:val="007D7868"/>
    <w:rsid w:val="007E3552"/>
    <w:rsid w:val="007E6B7C"/>
    <w:rsid w:val="007F07CC"/>
    <w:rsid w:val="007F1042"/>
    <w:rsid w:val="007F78DD"/>
    <w:rsid w:val="00811FF2"/>
    <w:rsid w:val="008136B4"/>
    <w:rsid w:val="008160BA"/>
    <w:rsid w:val="008251FE"/>
    <w:rsid w:val="00825992"/>
    <w:rsid w:val="00831907"/>
    <w:rsid w:val="008358B4"/>
    <w:rsid w:val="008365EF"/>
    <w:rsid w:val="00840355"/>
    <w:rsid w:val="0084782B"/>
    <w:rsid w:val="00847DC9"/>
    <w:rsid w:val="0085464C"/>
    <w:rsid w:val="0085471A"/>
    <w:rsid w:val="008560D5"/>
    <w:rsid w:val="0085709B"/>
    <w:rsid w:val="008601CA"/>
    <w:rsid w:val="0086026B"/>
    <w:rsid w:val="008658FE"/>
    <w:rsid w:val="00867E81"/>
    <w:rsid w:val="00871676"/>
    <w:rsid w:val="00874101"/>
    <w:rsid w:val="008750EC"/>
    <w:rsid w:val="008836DC"/>
    <w:rsid w:val="00884A5E"/>
    <w:rsid w:val="00885A3F"/>
    <w:rsid w:val="008926C5"/>
    <w:rsid w:val="00897BDF"/>
    <w:rsid w:val="008A234F"/>
    <w:rsid w:val="008B2003"/>
    <w:rsid w:val="008B2F4B"/>
    <w:rsid w:val="008B78F5"/>
    <w:rsid w:val="008C1886"/>
    <w:rsid w:val="008C3AC3"/>
    <w:rsid w:val="008C7905"/>
    <w:rsid w:val="008D6D72"/>
    <w:rsid w:val="008E0BA2"/>
    <w:rsid w:val="008E37D4"/>
    <w:rsid w:val="008E511B"/>
    <w:rsid w:val="008F0C12"/>
    <w:rsid w:val="008F1388"/>
    <w:rsid w:val="00901D26"/>
    <w:rsid w:val="00905D60"/>
    <w:rsid w:val="00907268"/>
    <w:rsid w:val="00912730"/>
    <w:rsid w:val="0091464D"/>
    <w:rsid w:val="00920CC5"/>
    <w:rsid w:val="00925321"/>
    <w:rsid w:val="00925583"/>
    <w:rsid w:val="00926CB4"/>
    <w:rsid w:val="0092708A"/>
    <w:rsid w:val="00931EAA"/>
    <w:rsid w:val="00934D13"/>
    <w:rsid w:val="00936A09"/>
    <w:rsid w:val="00946BEA"/>
    <w:rsid w:val="0094718A"/>
    <w:rsid w:val="00952D7E"/>
    <w:rsid w:val="00953C59"/>
    <w:rsid w:val="0095501B"/>
    <w:rsid w:val="009554D9"/>
    <w:rsid w:val="009566CC"/>
    <w:rsid w:val="00957432"/>
    <w:rsid w:val="00962EC8"/>
    <w:rsid w:val="00965782"/>
    <w:rsid w:val="009668C1"/>
    <w:rsid w:val="00967094"/>
    <w:rsid w:val="00967B03"/>
    <w:rsid w:val="00977E25"/>
    <w:rsid w:val="00983142"/>
    <w:rsid w:val="0098739B"/>
    <w:rsid w:val="00990274"/>
    <w:rsid w:val="0099199A"/>
    <w:rsid w:val="00994107"/>
    <w:rsid w:val="009958A0"/>
    <w:rsid w:val="00996B0F"/>
    <w:rsid w:val="00996FB6"/>
    <w:rsid w:val="009A0175"/>
    <w:rsid w:val="009A479F"/>
    <w:rsid w:val="009A508F"/>
    <w:rsid w:val="009B7A94"/>
    <w:rsid w:val="009C22D0"/>
    <w:rsid w:val="009C30B2"/>
    <w:rsid w:val="009C3138"/>
    <w:rsid w:val="009D1561"/>
    <w:rsid w:val="009D3E98"/>
    <w:rsid w:val="009D6463"/>
    <w:rsid w:val="009D72A3"/>
    <w:rsid w:val="009E3570"/>
    <w:rsid w:val="009E3BC9"/>
    <w:rsid w:val="009F0650"/>
    <w:rsid w:val="009F1971"/>
    <w:rsid w:val="009F7CB2"/>
    <w:rsid w:val="00A026AD"/>
    <w:rsid w:val="00A02EE6"/>
    <w:rsid w:val="00A05A4E"/>
    <w:rsid w:val="00A11751"/>
    <w:rsid w:val="00A12890"/>
    <w:rsid w:val="00A168CB"/>
    <w:rsid w:val="00A207AB"/>
    <w:rsid w:val="00A20D37"/>
    <w:rsid w:val="00A21690"/>
    <w:rsid w:val="00A22419"/>
    <w:rsid w:val="00A25FE1"/>
    <w:rsid w:val="00A31F66"/>
    <w:rsid w:val="00A34643"/>
    <w:rsid w:val="00A36352"/>
    <w:rsid w:val="00A41F52"/>
    <w:rsid w:val="00A50CE0"/>
    <w:rsid w:val="00A559AD"/>
    <w:rsid w:val="00A638BA"/>
    <w:rsid w:val="00A63B02"/>
    <w:rsid w:val="00A73179"/>
    <w:rsid w:val="00A8207A"/>
    <w:rsid w:val="00A82723"/>
    <w:rsid w:val="00A91F04"/>
    <w:rsid w:val="00A93B85"/>
    <w:rsid w:val="00A9490C"/>
    <w:rsid w:val="00A95BFA"/>
    <w:rsid w:val="00AA301D"/>
    <w:rsid w:val="00AA4DF7"/>
    <w:rsid w:val="00AB29F8"/>
    <w:rsid w:val="00AB51AA"/>
    <w:rsid w:val="00AB79DD"/>
    <w:rsid w:val="00AB7B5C"/>
    <w:rsid w:val="00AC0B7B"/>
    <w:rsid w:val="00AC5ECC"/>
    <w:rsid w:val="00AC6AA9"/>
    <w:rsid w:val="00AC7145"/>
    <w:rsid w:val="00AC7C5E"/>
    <w:rsid w:val="00AD0634"/>
    <w:rsid w:val="00AD1C20"/>
    <w:rsid w:val="00AD3FF9"/>
    <w:rsid w:val="00AD4B9B"/>
    <w:rsid w:val="00AD51E5"/>
    <w:rsid w:val="00AD5267"/>
    <w:rsid w:val="00AD7620"/>
    <w:rsid w:val="00AE1384"/>
    <w:rsid w:val="00AE26BD"/>
    <w:rsid w:val="00AF2C38"/>
    <w:rsid w:val="00AF3D37"/>
    <w:rsid w:val="00B05419"/>
    <w:rsid w:val="00B10184"/>
    <w:rsid w:val="00B12E31"/>
    <w:rsid w:val="00B15789"/>
    <w:rsid w:val="00B2107F"/>
    <w:rsid w:val="00B25A4F"/>
    <w:rsid w:val="00B323AD"/>
    <w:rsid w:val="00B41A18"/>
    <w:rsid w:val="00B4617A"/>
    <w:rsid w:val="00B51278"/>
    <w:rsid w:val="00B5163E"/>
    <w:rsid w:val="00B53E82"/>
    <w:rsid w:val="00B561C1"/>
    <w:rsid w:val="00B60036"/>
    <w:rsid w:val="00B647B8"/>
    <w:rsid w:val="00B70445"/>
    <w:rsid w:val="00B73C25"/>
    <w:rsid w:val="00B75E88"/>
    <w:rsid w:val="00B8049E"/>
    <w:rsid w:val="00B82490"/>
    <w:rsid w:val="00B82F82"/>
    <w:rsid w:val="00B879E9"/>
    <w:rsid w:val="00B90E6A"/>
    <w:rsid w:val="00B97F9C"/>
    <w:rsid w:val="00BA0FBE"/>
    <w:rsid w:val="00BA16EF"/>
    <w:rsid w:val="00BA17F1"/>
    <w:rsid w:val="00BA1879"/>
    <w:rsid w:val="00BA25B6"/>
    <w:rsid w:val="00BA38C7"/>
    <w:rsid w:val="00BA6166"/>
    <w:rsid w:val="00BB36D6"/>
    <w:rsid w:val="00BB7B39"/>
    <w:rsid w:val="00BC1F46"/>
    <w:rsid w:val="00BC7118"/>
    <w:rsid w:val="00BD54EB"/>
    <w:rsid w:val="00BF0BA0"/>
    <w:rsid w:val="00BF28B1"/>
    <w:rsid w:val="00C06E08"/>
    <w:rsid w:val="00C12F68"/>
    <w:rsid w:val="00C23C91"/>
    <w:rsid w:val="00C249F1"/>
    <w:rsid w:val="00C26FD6"/>
    <w:rsid w:val="00C319E1"/>
    <w:rsid w:val="00C40241"/>
    <w:rsid w:val="00C41C51"/>
    <w:rsid w:val="00C423B0"/>
    <w:rsid w:val="00C43DDA"/>
    <w:rsid w:val="00C44A2E"/>
    <w:rsid w:val="00C4555C"/>
    <w:rsid w:val="00C456FA"/>
    <w:rsid w:val="00C46A11"/>
    <w:rsid w:val="00C53E16"/>
    <w:rsid w:val="00C54DA9"/>
    <w:rsid w:val="00C61C7F"/>
    <w:rsid w:val="00C639F2"/>
    <w:rsid w:val="00C6764F"/>
    <w:rsid w:val="00C72309"/>
    <w:rsid w:val="00C76519"/>
    <w:rsid w:val="00C8430E"/>
    <w:rsid w:val="00C8621A"/>
    <w:rsid w:val="00C87E18"/>
    <w:rsid w:val="00C90B31"/>
    <w:rsid w:val="00C90DE4"/>
    <w:rsid w:val="00CA2028"/>
    <w:rsid w:val="00CA22B2"/>
    <w:rsid w:val="00CA537A"/>
    <w:rsid w:val="00CA564C"/>
    <w:rsid w:val="00CB1B54"/>
    <w:rsid w:val="00CC32A8"/>
    <w:rsid w:val="00CC4F8A"/>
    <w:rsid w:val="00CD08EC"/>
    <w:rsid w:val="00CD0B4E"/>
    <w:rsid w:val="00CD2A8C"/>
    <w:rsid w:val="00CD63F6"/>
    <w:rsid w:val="00CE0A18"/>
    <w:rsid w:val="00CE1D6E"/>
    <w:rsid w:val="00CE54B7"/>
    <w:rsid w:val="00CF0423"/>
    <w:rsid w:val="00CF1119"/>
    <w:rsid w:val="00CF3306"/>
    <w:rsid w:val="00CF3B52"/>
    <w:rsid w:val="00CF6023"/>
    <w:rsid w:val="00CF7E06"/>
    <w:rsid w:val="00D01B19"/>
    <w:rsid w:val="00D04048"/>
    <w:rsid w:val="00D04E7F"/>
    <w:rsid w:val="00D063AC"/>
    <w:rsid w:val="00D06F49"/>
    <w:rsid w:val="00D076F7"/>
    <w:rsid w:val="00D10F3D"/>
    <w:rsid w:val="00D136FC"/>
    <w:rsid w:val="00D14EFC"/>
    <w:rsid w:val="00D15ED3"/>
    <w:rsid w:val="00D15F63"/>
    <w:rsid w:val="00D17251"/>
    <w:rsid w:val="00D179B0"/>
    <w:rsid w:val="00D42365"/>
    <w:rsid w:val="00D44AE2"/>
    <w:rsid w:val="00D558BE"/>
    <w:rsid w:val="00D5758B"/>
    <w:rsid w:val="00D60A0C"/>
    <w:rsid w:val="00D625E6"/>
    <w:rsid w:val="00D632FE"/>
    <w:rsid w:val="00D67FB1"/>
    <w:rsid w:val="00D8173A"/>
    <w:rsid w:val="00D8183F"/>
    <w:rsid w:val="00D825FD"/>
    <w:rsid w:val="00D83E43"/>
    <w:rsid w:val="00D86352"/>
    <w:rsid w:val="00D86C9B"/>
    <w:rsid w:val="00D92DBE"/>
    <w:rsid w:val="00D93D85"/>
    <w:rsid w:val="00D94591"/>
    <w:rsid w:val="00D94F12"/>
    <w:rsid w:val="00DA0E82"/>
    <w:rsid w:val="00DA19E9"/>
    <w:rsid w:val="00DA4081"/>
    <w:rsid w:val="00DA7406"/>
    <w:rsid w:val="00DB0B9C"/>
    <w:rsid w:val="00DB322B"/>
    <w:rsid w:val="00DB3D72"/>
    <w:rsid w:val="00DC13F4"/>
    <w:rsid w:val="00DC2EED"/>
    <w:rsid w:val="00DD3353"/>
    <w:rsid w:val="00E01578"/>
    <w:rsid w:val="00E028BD"/>
    <w:rsid w:val="00E034F0"/>
    <w:rsid w:val="00E05B94"/>
    <w:rsid w:val="00E1029F"/>
    <w:rsid w:val="00E1095C"/>
    <w:rsid w:val="00E17C22"/>
    <w:rsid w:val="00E20982"/>
    <w:rsid w:val="00E22CB9"/>
    <w:rsid w:val="00E24C9C"/>
    <w:rsid w:val="00E256C8"/>
    <w:rsid w:val="00E261F8"/>
    <w:rsid w:val="00E26EE9"/>
    <w:rsid w:val="00E3272F"/>
    <w:rsid w:val="00E3721C"/>
    <w:rsid w:val="00E45C32"/>
    <w:rsid w:val="00E50AA8"/>
    <w:rsid w:val="00E512D9"/>
    <w:rsid w:val="00E53806"/>
    <w:rsid w:val="00E56B25"/>
    <w:rsid w:val="00E82153"/>
    <w:rsid w:val="00E92D98"/>
    <w:rsid w:val="00E936EB"/>
    <w:rsid w:val="00EA01FE"/>
    <w:rsid w:val="00EA0A74"/>
    <w:rsid w:val="00EA6A85"/>
    <w:rsid w:val="00EB0627"/>
    <w:rsid w:val="00EB0BBE"/>
    <w:rsid w:val="00EB296A"/>
    <w:rsid w:val="00EC0322"/>
    <w:rsid w:val="00EC3297"/>
    <w:rsid w:val="00EC421A"/>
    <w:rsid w:val="00EC5082"/>
    <w:rsid w:val="00EC7D91"/>
    <w:rsid w:val="00ED14F7"/>
    <w:rsid w:val="00ED23A5"/>
    <w:rsid w:val="00ED2545"/>
    <w:rsid w:val="00ED79A9"/>
    <w:rsid w:val="00ED7F30"/>
    <w:rsid w:val="00EE1054"/>
    <w:rsid w:val="00EE4315"/>
    <w:rsid w:val="00EE6190"/>
    <w:rsid w:val="00EE73AA"/>
    <w:rsid w:val="00EF1B15"/>
    <w:rsid w:val="00EF3B4E"/>
    <w:rsid w:val="00EF5E07"/>
    <w:rsid w:val="00EF7C0D"/>
    <w:rsid w:val="00F006FE"/>
    <w:rsid w:val="00F07CF8"/>
    <w:rsid w:val="00F10AC5"/>
    <w:rsid w:val="00F1613D"/>
    <w:rsid w:val="00F16632"/>
    <w:rsid w:val="00F17756"/>
    <w:rsid w:val="00F2083B"/>
    <w:rsid w:val="00F2653D"/>
    <w:rsid w:val="00F27156"/>
    <w:rsid w:val="00F31C82"/>
    <w:rsid w:val="00F31CF1"/>
    <w:rsid w:val="00F3614A"/>
    <w:rsid w:val="00F4361D"/>
    <w:rsid w:val="00F46DFC"/>
    <w:rsid w:val="00F527F8"/>
    <w:rsid w:val="00F53215"/>
    <w:rsid w:val="00F535AF"/>
    <w:rsid w:val="00F53850"/>
    <w:rsid w:val="00F56753"/>
    <w:rsid w:val="00F61D13"/>
    <w:rsid w:val="00F66233"/>
    <w:rsid w:val="00F66FC0"/>
    <w:rsid w:val="00F75AD4"/>
    <w:rsid w:val="00F82015"/>
    <w:rsid w:val="00F935A1"/>
    <w:rsid w:val="00F93BAC"/>
    <w:rsid w:val="00F94CA1"/>
    <w:rsid w:val="00F95D12"/>
    <w:rsid w:val="00FA7670"/>
    <w:rsid w:val="00FB46CF"/>
    <w:rsid w:val="00FB6063"/>
    <w:rsid w:val="00FC4CB7"/>
    <w:rsid w:val="00FC57BD"/>
    <w:rsid w:val="00FC606D"/>
    <w:rsid w:val="00FC6F67"/>
    <w:rsid w:val="00FD16F2"/>
    <w:rsid w:val="00FD4DBD"/>
    <w:rsid w:val="00FD7525"/>
    <w:rsid w:val="00FE0EA2"/>
    <w:rsid w:val="00FE3B4D"/>
    <w:rsid w:val="00FE71BD"/>
    <w:rsid w:val="00FF0162"/>
    <w:rsid w:val="00FF0FF5"/>
    <w:rsid w:val="00FF1671"/>
    <w:rsid w:val="00FF2615"/>
    <w:rsid w:val="00FF31FE"/>
    <w:rsid w:val="00FF70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9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F8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C5EC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C5ECC"/>
    <w:rPr>
      <w:rFonts w:ascii="Tahoma" w:hAnsi="Tahoma" w:cs="Tahoma"/>
      <w:sz w:val="16"/>
      <w:szCs w:val="16"/>
    </w:rPr>
  </w:style>
  <w:style w:type="paragraph" w:styleId="Prrafodelista">
    <w:name w:val="List Paragraph"/>
    <w:basedOn w:val="Normal"/>
    <w:uiPriority w:val="34"/>
    <w:qFormat/>
    <w:rsid w:val="00920CC5"/>
    <w:pPr>
      <w:ind w:left="720"/>
      <w:contextualSpacing/>
    </w:pPr>
  </w:style>
  <w:style w:type="paragraph" w:styleId="Encabezado">
    <w:name w:val="header"/>
    <w:basedOn w:val="Normal"/>
    <w:link w:val="EncabezadoCar"/>
    <w:uiPriority w:val="99"/>
    <w:unhideWhenUsed/>
    <w:rsid w:val="00DA408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A4081"/>
  </w:style>
  <w:style w:type="paragraph" w:styleId="Piedepgina">
    <w:name w:val="footer"/>
    <w:basedOn w:val="Normal"/>
    <w:link w:val="PiedepginaCar"/>
    <w:uiPriority w:val="99"/>
    <w:unhideWhenUsed/>
    <w:rsid w:val="00DA408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A4081"/>
  </w:style>
  <w:style w:type="paragraph" w:styleId="NormalWeb">
    <w:name w:val="Normal (Web)"/>
    <w:basedOn w:val="Normal"/>
    <w:uiPriority w:val="99"/>
    <w:unhideWhenUsed/>
    <w:rsid w:val="00C4555C"/>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0206F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206F8"/>
    <w:rPr>
      <w:sz w:val="20"/>
      <w:szCs w:val="20"/>
    </w:rPr>
  </w:style>
  <w:style w:type="character" w:styleId="Refdenotaalpie">
    <w:name w:val="footnote reference"/>
    <w:basedOn w:val="Fuentedeprrafopredeter"/>
    <w:uiPriority w:val="99"/>
    <w:semiHidden/>
    <w:unhideWhenUsed/>
    <w:rsid w:val="000206F8"/>
    <w:rPr>
      <w:vertAlign w:val="superscript"/>
    </w:rPr>
  </w:style>
  <w:style w:type="paragraph" w:customStyle="1" w:styleId="Default">
    <w:name w:val="Default"/>
    <w:rsid w:val="00770392"/>
    <w:pPr>
      <w:autoSpaceDE w:val="0"/>
      <w:autoSpaceDN w:val="0"/>
      <w:adjustRightInd w:val="0"/>
      <w:spacing w:after="0" w:line="240" w:lineRule="auto"/>
    </w:pPr>
    <w:rPr>
      <w:rFonts w:ascii="Calibri" w:hAnsi="Calibri" w:cs="Calibri"/>
      <w:color w:val="000000"/>
      <w:sz w:val="24"/>
      <w:szCs w:val="24"/>
    </w:rPr>
  </w:style>
  <w:style w:type="character" w:styleId="Hipervnculo">
    <w:name w:val="Hyperlink"/>
    <w:basedOn w:val="Fuentedeprrafopredeter"/>
    <w:uiPriority w:val="99"/>
    <w:unhideWhenUsed/>
    <w:rsid w:val="00D8183F"/>
    <w:rPr>
      <w:color w:val="0000FF" w:themeColor="hyperlink"/>
      <w:u w:val="single"/>
    </w:rPr>
  </w:style>
  <w:style w:type="table" w:customStyle="1" w:styleId="Tabladecuadrcula6concolores-nfasis21">
    <w:name w:val="Tabla de cuadrícula 6 con colores - Énfasis 21"/>
    <w:basedOn w:val="Tablanormal"/>
    <w:uiPriority w:val="51"/>
    <w:rsid w:val="00C61C7F"/>
    <w:pPr>
      <w:spacing w:after="0" w:line="240" w:lineRule="auto"/>
    </w:pPr>
    <w:rPr>
      <w:color w:val="943634" w:themeColor="accent2" w:themeShade="BF"/>
    </w:r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
    <w:name w:val="Table Grid"/>
    <w:basedOn w:val="Tablanormal"/>
    <w:uiPriority w:val="59"/>
    <w:rsid w:val="009D646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4518354">
      <w:bodyDiv w:val="1"/>
      <w:marLeft w:val="0"/>
      <w:marRight w:val="0"/>
      <w:marTop w:val="0"/>
      <w:marBottom w:val="0"/>
      <w:divBdr>
        <w:top w:val="none" w:sz="0" w:space="0" w:color="auto"/>
        <w:left w:val="none" w:sz="0" w:space="0" w:color="auto"/>
        <w:bottom w:val="none" w:sz="0" w:space="0" w:color="auto"/>
        <w:right w:val="none" w:sz="0" w:space="0" w:color="auto"/>
      </w:divBdr>
    </w:div>
    <w:div w:id="83847960">
      <w:bodyDiv w:val="1"/>
      <w:marLeft w:val="0"/>
      <w:marRight w:val="0"/>
      <w:marTop w:val="0"/>
      <w:marBottom w:val="0"/>
      <w:divBdr>
        <w:top w:val="none" w:sz="0" w:space="0" w:color="auto"/>
        <w:left w:val="none" w:sz="0" w:space="0" w:color="auto"/>
        <w:bottom w:val="none" w:sz="0" w:space="0" w:color="auto"/>
        <w:right w:val="none" w:sz="0" w:space="0" w:color="auto"/>
      </w:divBdr>
    </w:div>
    <w:div w:id="962420618">
      <w:bodyDiv w:val="1"/>
      <w:marLeft w:val="0"/>
      <w:marRight w:val="0"/>
      <w:marTop w:val="0"/>
      <w:marBottom w:val="0"/>
      <w:divBdr>
        <w:top w:val="none" w:sz="0" w:space="0" w:color="auto"/>
        <w:left w:val="none" w:sz="0" w:space="0" w:color="auto"/>
        <w:bottom w:val="none" w:sz="0" w:space="0" w:color="auto"/>
        <w:right w:val="none" w:sz="0" w:space="0" w:color="auto"/>
      </w:divBdr>
    </w:div>
    <w:div w:id="1113985877">
      <w:bodyDiv w:val="1"/>
      <w:marLeft w:val="0"/>
      <w:marRight w:val="0"/>
      <w:marTop w:val="0"/>
      <w:marBottom w:val="0"/>
      <w:divBdr>
        <w:top w:val="none" w:sz="0" w:space="0" w:color="auto"/>
        <w:left w:val="none" w:sz="0" w:space="0" w:color="auto"/>
        <w:bottom w:val="none" w:sz="0" w:space="0" w:color="auto"/>
        <w:right w:val="none" w:sz="0" w:space="0" w:color="auto"/>
      </w:divBdr>
    </w:div>
    <w:div w:id="1156263266">
      <w:bodyDiv w:val="1"/>
      <w:marLeft w:val="0"/>
      <w:marRight w:val="0"/>
      <w:marTop w:val="0"/>
      <w:marBottom w:val="0"/>
      <w:divBdr>
        <w:top w:val="none" w:sz="0" w:space="0" w:color="auto"/>
        <w:left w:val="none" w:sz="0" w:space="0" w:color="auto"/>
        <w:bottom w:val="none" w:sz="0" w:space="0" w:color="auto"/>
        <w:right w:val="none" w:sz="0" w:space="0" w:color="auto"/>
      </w:divBdr>
    </w:div>
    <w:div w:id="1287199297">
      <w:bodyDiv w:val="1"/>
      <w:marLeft w:val="0"/>
      <w:marRight w:val="0"/>
      <w:marTop w:val="0"/>
      <w:marBottom w:val="0"/>
      <w:divBdr>
        <w:top w:val="none" w:sz="0" w:space="0" w:color="auto"/>
        <w:left w:val="none" w:sz="0" w:space="0" w:color="auto"/>
        <w:bottom w:val="none" w:sz="0" w:space="0" w:color="auto"/>
        <w:right w:val="none" w:sz="0" w:space="0" w:color="auto"/>
      </w:divBdr>
    </w:div>
    <w:div w:id="1327971846">
      <w:bodyDiv w:val="1"/>
      <w:marLeft w:val="0"/>
      <w:marRight w:val="0"/>
      <w:marTop w:val="0"/>
      <w:marBottom w:val="0"/>
      <w:divBdr>
        <w:top w:val="none" w:sz="0" w:space="0" w:color="auto"/>
        <w:left w:val="none" w:sz="0" w:space="0" w:color="auto"/>
        <w:bottom w:val="none" w:sz="0" w:space="0" w:color="auto"/>
        <w:right w:val="none" w:sz="0" w:space="0" w:color="auto"/>
      </w:divBdr>
    </w:div>
    <w:div w:id="1543207513">
      <w:bodyDiv w:val="1"/>
      <w:marLeft w:val="0"/>
      <w:marRight w:val="0"/>
      <w:marTop w:val="0"/>
      <w:marBottom w:val="0"/>
      <w:divBdr>
        <w:top w:val="none" w:sz="0" w:space="0" w:color="auto"/>
        <w:left w:val="none" w:sz="0" w:space="0" w:color="auto"/>
        <w:bottom w:val="none" w:sz="0" w:space="0" w:color="auto"/>
        <w:right w:val="none" w:sz="0" w:space="0" w:color="auto"/>
      </w:divBdr>
    </w:div>
    <w:div w:id="1545674295">
      <w:bodyDiv w:val="1"/>
      <w:marLeft w:val="0"/>
      <w:marRight w:val="0"/>
      <w:marTop w:val="0"/>
      <w:marBottom w:val="0"/>
      <w:divBdr>
        <w:top w:val="none" w:sz="0" w:space="0" w:color="auto"/>
        <w:left w:val="none" w:sz="0" w:space="0" w:color="auto"/>
        <w:bottom w:val="none" w:sz="0" w:space="0" w:color="auto"/>
        <w:right w:val="none" w:sz="0" w:space="0" w:color="auto"/>
      </w:divBdr>
    </w:div>
    <w:div w:id="1620989403">
      <w:bodyDiv w:val="1"/>
      <w:marLeft w:val="0"/>
      <w:marRight w:val="0"/>
      <w:marTop w:val="0"/>
      <w:marBottom w:val="0"/>
      <w:divBdr>
        <w:top w:val="none" w:sz="0" w:space="0" w:color="auto"/>
        <w:left w:val="none" w:sz="0" w:space="0" w:color="auto"/>
        <w:bottom w:val="none" w:sz="0" w:space="0" w:color="auto"/>
        <w:right w:val="none" w:sz="0" w:space="0" w:color="auto"/>
      </w:divBdr>
    </w:div>
    <w:div w:id="172132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8.emf"/><Relationship Id="rId26" Type="http://schemas.openxmlformats.org/officeDocument/2006/relationships/image" Target="media/image13.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7.emf"/><Relationship Id="rId25" Type="http://schemas.openxmlformats.org/officeDocument/2006/relationships/chart" Target="charts/chart7.xml"/><Relationship Id="rId33" Type="http://schemas.openxmlformats.org/officeDocument/2006/relationships/image" Target="media/image19.emf"/><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10.emf"/><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12.emf"/><Relationship Id="rId32" Type="http://schemas.openxmlformats.org/officeDocument/2006/relationships/image" Target="media/image18.emf"/><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chart" Target="charts/chart6.xml"/><Relationship Id="rId28" Type="http://schemas.openxmlformats.org/officeDocument/2006/relationships/image" Target="media/image14.emf"/><Relationship Id="rId36" Type="http://schemas.openxmlformats.org/officeDocument/2006/relationships/image" Target="media/image21.emf"/><Relationship Id="rId10" Type="http://schemas.openxmlformats.org/officeDocument/2006/relationships/chart" Target="charts/chart1.xml"/><Relationship Id="rId19" Type="http://schemas.openxmlformats.org/officeDocument/2006/relationships/image" Target="media/image9.emf"/><Relationship Id="rId31" Type="http://schemas.openxmlformats.org/officeDocument/2006/relationships/image" Target="media/image17.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chart" Target="charts/chart5.xml"/><Relationship Id="rId27" Type="http://schemas.openxmlformats.org/officeDocument/2006/relationships/chart" Target="charts/chart8.xml"/><Relationship Id="rId30" Type="http://schemas.openxmlformats.org/officeDocument/2006/relationships/image" Target="media/image16.emf"/><Relationship Id="rId35" Type="http://schemas.openxmlformats.org/officeDocument/2006/relationships/image" Target="media/image20.emf"/></Relationships>
</file>

<file path=word/_rels/footnotes.xml.rels><?xml version="1.0" encoding="UTF-8" standalone="yes"?>
<Relationships xmlns="http://schemas.openxmlformats.org/package/2006/relationships"><Relationship Id="rId1" Type="http://schemas.openxmlformats.org/officeDocument/2006/relationships/hyperlink" Target="http://www.ugt.es/Publicaciones/Informe%20Brecha%20Salarial-22feb2017-OK.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charts/_rels/chart1.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2.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4.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6.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7.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8.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_rels/chart9.xml.rels><?xml version="1.0" encoding="UTF-8" standalone="yes"?>
<Relationships xmlns="http://schemas.openxmlformats.org/package/2006/relationships"><Relationship Id="rId2" Type="http://schemas.openxmlformats.org/officeDocument/2006/relationships/oleObject" Target="file:///C:\Users\manuel.nunez\Desktop\PPPP%20Andalucia.xlsx" TargetMode="External"/><Relationship Id="rId1" Type="http://schemas.openxmlformats.org/officeDocument/2006/relationships/image" Target="../media/image3.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6.1664043456420674E-2"/>
          <c:y val="1.9080881897821703E-2"/>
          <c:w val="0.92379917765776165"/>
          <c:h val="0.91377956479127742"/>
        </c:manualLayout>
      </c:layout>
      <c:barChart>
        <c:barDir val="col"/>
        <c:grouping val="clustered"/>
        <c:ser>
          <c:idx val="0"/>
          <c:order val="0"/>
          <c:tx>
            <c:strRef>
              <c:f>'tabla-4241'!$A$22</c:f>
              <c:strCache>
                <c:ptCount val="1"/>
                <c:pt idx="0">
                  <c:v>Variación indefinidos</c:v>
                </c:pt>
              </c:strCache>
            </c:strRef>
          </c:tx>
          <c:dLbls>
            <c:dLbl>
              <c:idx val="0"/>
              <c:layout>
                <c:manualLayout>
                  <c:x val="-1.3669467328842957E-3"/>
                  <c:y val="-2.3058417684172276E-2"/>
                </c:manualLayout>
              </c:layout>
              <c:showVal val="1"/>
            </c:dLbl>
            <c:txPr>
              <a:bodyPr/>
              <a:lstStyle/>
              <a:p>
                <a:pPr>
                  <a:defRPr b="1">
                    <a:solidFill>
                      <a:srgbClr val="0070C0"/>
                    </a:solidFill>
                  </a:defRPr>
                </a:pPr>
                <a:endParaRPr lang="es-ES"/>
              </a:p>
            </c:txPr>
            <c:showVal val="1"/>
          </c:dLbls>
          <c:cat>
            <c:numRef>
              <c:f>'tabla-4241'!$B$21:$K$21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'tabla-4241'!$B$22:$K$22</c:f>
              <c:numCache>
                <c:formatCode>0.0</c:formatCode>
                <c:ptCount val="10"/>
                <c:pt idx="0">
                  <c:v>-8.8499999999999233</c:v>
                </c:pt>
                <c:pt idx="1">
                  <c:v>-14.200000000000273</c:v>
                </c:pt>
                <c:pt idx="2">
                  <c:v>29.700000000000273</c:v>
                </c:pt>
                <c:pt idx="3">
                  <c:v>-25.5</c:v>
                </c:pt>
                <c:pt idx="4">
                  <c:v>-61.12500000000005</c:v>
                </c:pt>
                <c:pt idx="5">
                  <c:v>-44.525000000000318</c:v>
                </c:pt>
                <c:pt idx="6">
                  <c:v>-25.424999999999727</c:v>
                </c:pt>
                <c:pt idx="7">
                  <c:v>64.600000000000108</c:v>
                </c:pt>
                <c:pt idx="8">
                  <c:v>25.799999999999727</c:v>
                </c:pt>
                <c:pt idx="9">
                  <c:v>59.550000000000175</c:v>
                </c:pt>
              </c:numCache>
            </c:numRef>
          </c:val>
        </c:ser>
        <c:ser>
          <c:idx val="1"/>
          <c:order val="1"/>
          <c:tx>
            <c:strRef>
              <c:f>'tabla-4241'!$A$23</c:f>
              <c:strCache>
                <c:ptCount val="1"/>
                <c:pt idx="0">
                  <c:v>Variación temporales</c:v>
                </c:pt>
              </c:strCache>
            </c:strRef>
          </c:tx>
          <c:dLbls>
            <c:txPr>
              <a:bodyPr/>
              <a:lstStyle/>
              <a:p>
                <a:pPr>
                  <a:defRPr b="1">
                    <a:solidFill>
                      <a:srgbClr val="C00000"/>
                    </a:solidFill>
                  </a:defRPr>
                </a:pPr>
                <a:endParaRPr lang="es-ES"/>
              </a:p>
            </c:txPr>
            <c:showVal val="1"/>
          </c:dLbls>
          <c:cat>
            <c:numRef>
              <c:f>'tabla-4241'!$B$21:$K$21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'tabla-4241'!$B$23:$K$23</c:f>
              <c:numCache>
                <c:formatCode>0.0</c:formatCode>
                <c:ptCount val="10"/>
                <c:pt idx="0">
                  <c:v>181.14999999999998</c:v>
                </c:pt>
                <c:pt idx="1">
                  <c:v>-181.625</c:v>
                </c:pt>
                <c:pt idx="2">
                  <c:v>-47.549999999999962</c:v>
                </c:pt>
                <c:pt idx="3">
                  <c:v>-26.674999999999955</c:v>
                </c:pt>
                <c:pt idx="4">
                  <c:v>-88.374999999999986</c:v>
                </c:pt>
                <c:pt idx="5">
                  <c:v>-49.275000000000112</c:v>
                </c:pt>
                <c:pt idx="6">
                  <c:v>78.149999999999977</c:v>
                </c:pt>
                <c:pt idx="7">
                  <c:v>63.699999999999996</c:v>
                </c:pt>
                <c:pt idx="8">
                  <c:v>27.350000000000136</c:v>
                </c:pt>
                <c:pt idx="9">
                  <c:v>43.15</c:v>
                </c:pt>
              </c:numCache>
            </c:numRef>
          </c:val>
        </c:ser>
        <c:axId val="118230400"/>
        <c:axId val="118277248"/>
      </c:barChart>
      <c:catAx>
        <c:axId val="118230400"/>
        <c:scaling>
          <c:orientation val="minMax"/>
        </c:scaling>
        <c:axPos val="b"/>
        <c:numFmt formatCode="General" sourceLinked="1"/>
        <c:tickLblPos val="nextTo"/>
        <c:txPr>
          <a:bodyPr/>
          <a:lstStyle/>
          <a:p>
            <a:pPr>
              <a:defRPr b="1"/>
            </a:pPr>
            <a:endParaRPr lang="es-ES"/>
          </a:p>
        </c:txPr>
        <c:crossAx val="118277248"/>
        <c:crosses val="autoZero"/>
        <c:auto val="1"/>
        <c:lblAlgn val="ctr"/>
        <c:lblOffset val="100"/>
      </c:catAx>
      <c:valAx>
        <c:axId val="118277248"/>
        <c:scaling>
          <c:orientation val="minMax"/>
        </c:scaling>
        <c:axPos val="l"/>
        <c:majorGridlines/>
        <c:numFmt formatCode="0.0" sourceLinked="1"/>
        <c:tickLblPos val="nextTo"/>
        <c:txPr>
          <a:bodyPr/>
          <a:lstStyle/>
          <a:p>
            <a:pPr>
              <a:defRPr b="1"/>
            </a:pPr>
            <a:endParaRPr lang="es-ES"/>
          </a:p>
        </c:txPr>
        <c:crossAx val="118230400"/>
        <c:crosses val="autoZero"/>
        <c:crossBetween val="between"/>
      </c:valAx>
      <c:spPr>
        <a:solidFill>
          <a:schemeClr val="accent3">
            <a:lumMod val="40000"/>
            <a:lumOff val="60000"/>
          </a:schemeClr>
        </a:solidFill>
      </c:spPr>
    </c:plotArea>
    <c:legend>
      <c:legendPos val="r"/>
      <c:legendEntry>
        <c:idx val="0"/>
        <c:txPr>
          <a:bodyPr/>
          <a:lstStyle/>
          <a:p>
            <a:pPr>
              <a:defRPr b="1">
                <a:solidFill>
                  <a:srgbClr val="0070C0"/>
                </a:solidFill>
              </a:defRPr>
            </a:pPr>
            <a:endParaRPr lang="es-ES"/>
          </a:p>
        </c:txPr>
      </c:legendEntry>
      <c:legendEntry>
        <c:idx val="1"/>
        <c:txPr>
          <a:bodyPr/>
          <a:lstStyle/>
          <a:p>
            <a:pPr>
              <a:defRPr b="1">
                <a:solidFill>
                  <a:srgbClr val="C00000"/>
                </a:solidFill>
              </a:defRPr>
            </a:pPr>
            <a:endParaRPr lang="es-ES"/>
          </a:p>
        </c:txPr>
      </c:legendEntry>
      <c:layout>
        <c:manualLayout>
          <c:xMode val="edge"/>
          <c:yMode val="edge"/>
          <c:x val="0.70514533225679965"/>
          <c:y val="4.8892325841678831E-2"/>
          <c:w val="0.27806923652417376"/>
          <c:h val="0.13351898936927048"/>
        </c:manualLayout>
      </c:layout>
    </c:legend>
    <c:plotVisOnly val="1"/>
  </c:chart>
  <c:spPr>
    <a:blipFill>
      <a:blip xmlns:r="http://schemas.openxmlformats.org/officeDocument/2006/relationships" r:embed="rId1"/>
      <a:tile tx="0" ty="0" sx="100000" sy="100000" flip="none" algn="tl"/>
    </a:blip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6.1664043456420611E-2"/>
          <c:y val="1.9080881897821707E-2"/>
          <c:w val="0.92379917765776165"/>
          <c:h val="0.95345335704647582"/>
        </c:manualLayout>
      </c:layout>
      <c:barChart>
        <c:barDir val="col"/>
        <c:grouping val="clustered"/>
        <c:ser>
          <c:idx val="0"/>
          <c:order val="0"/>
          <c:tx>
            <c:strRef>
              <c:f>'tabla-4241'!$A$22</c:f>
              <c:strCache>
                <c:ptCount val="1"/>
                <c:pt idx="0">
                  <c:v>Variación indefinidos</c:v>
                </c:pt>
              </c:strCache>
            </c:strRef>
          </c:tx>
          <c:dLbls>
            <c:dLbl>
              <c:idx val="0"/>
              <c:layout>
                <c:manualLayout>
                  <c:x val="-1.3669467328842957E-3"/>
                  <c:y val="-2.3058417684172251E-2"/>
                </c:manualLayout>
              </c:layout>
              <c:showVal val="1"/>
            </c:dLbl>
            <c:txPr>
              <a:bodyPr/>
              <a:lstStyle/>
              <a:p>
                <a:pPr>
                  <a:defRPr b="1">
                    <a:solidFill>
                      <a:srgbClr val="0070C0"/>
                    </a:solidFill>
                  </a:defRPr>
                </a:pPr>
                <a:endParaRPr lang="es-ES"/>
              </a:p>
            </c:txPr>
            <c:showVal val="1"/>
          </c:dLbls>
          <c:cat>
            <c:numRef>
              <c:f>'tabla-4241'!$B$21:$K$21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'tabla-4241'!$B$22:$K$22</c:f>
              <c:numCache>
                <c:formatCode>0.0</c:formatCode>
                <c:ptCount val="10"/>
                <c:pt idx="0">
                  <c:v>-8.8499999999999233</c:v>
                </c:pt>
                <c:pt idx="1">
                  <c:v>-14.200000000000273</c:v>
                </c:pt>
                <c:pt idx="2">
                  <c:v>29.700000000000273</c:v>
                </c:pt>
                <c:pt idx="3">
                  <c:v>-25.5</c:v>
                </c:pt>
                <c:pt idx="4">
                  <c:v>-61.12500000000005</c:v>
                </c:pt>
                <c:pt idx="5">
                  <c:v>-44.525000000000318</c:v>
                </c:pt>
                <c:pt idx="6">
                  <c:v>-25.424999999999727</c:v>
                </c:pt>
                <c:pt idx="7">
                  <c:v>64.600000000000108</c:v>
                </c:pt>
                <c:pt idx="8">
                  <c:v>25.799999999999727</c:v>
                </c:pt>
                <c:pt idx="9">
                  <c:v>59.550000000000175</c:v>
                </c:pt>
              </c:numCache>
            </c:numRef>
          </c:val>
        </c:ser>
        <c:ser>
          <c:idx val="1"/>
          <c:order val="1"/>
          <c:tx>
            <c:strRef>
              <c:f>'tabla-4241'!$A$23</c:f>
              <c:strCache>
                <c:ptCount val="1"/>
                <c:pt idx="0">
                  <c:v>Variación temporales</c:v>
                </c:pt>
              </c:strCache>
            </c:strRef>
          </c:tx>
          <c:dLbls>
            <c:txPr>
              <a:bodyPr/>
              <a:lstStyle/>
              <a:p>
                <a:pPr>
                  <a:defRPr b="1">
                    <a:solidFill>
                      <a:srgbClr val="C00000"/>
                    </a:solidFill>
                  </a:defRPr>
                </a:pPr>
                <a:endParaRPr lang="es-ES"/>
              </a:p>
            </c:txPr>
            <c:showVal val="1"/>
          </c:dLbls>
          <c:cat>
            <c:numRef>
              <c:f>'tabla-4241'!$B$21:$K$21</c:f>
              <c:numCache>
                <c:formatCode>General</c:formatCode>
                <c:ptCount val="10"/>
                <c:pt idx="0">
                  <c:v>2008</c:v>
                </c:pt>
                <c:pt idx="1">
                  <c:v>2009</c:v>
                </c:pt>
                <c:pt idx="2">
                  <c:v>2010</c:v>
                </c:pt>
                <c:pt idx="3">
                  <c:v>2011</c:v>
                </c:pt>
                <c:pt idx="4">
                  <c:v>2012</c:v>
                </c:pt>
                <c:pt idx="5">
                  <c:v>2013</c:v>
                </c:pt>
                <c:pt idx="6">
                  <c:v>2014</c:v>
                </c:pt>
                <c:pt idx="7">
                  <c:v>2015</c:v>
                </c:pt>
                <c:pt idx="8">
                  <c:v>2016</c:v>
                </c:pt>
                <c:pt idx="9">
                  <c:v>2017</c:v>
                </c:pt>
              </c:numCache>
            </c:numRef>
          </c:cat>
          <c:val>
            <c:numRef>
              <c:f>'tabla-4241'!$B$23:$K$23</c:f>
              <c:numCache>
                <c:formatCode>0.0</c:formatCode>
                <c:ptCount val="10"/>
                <c:pt idx="0">
                  <c:v>181.14999999999998</c:v>
                </c:pt>
                <c:pt idx="1">
                  <c:v>-181.625</c:v>
                </c:pt>
                <c:pt idx="2">
                  <c:v>-47.549999999999962</c:v>
                </c:pt>
                <c:pt idx="3">
                  <c:v>-26.674999999999955</c:v>
                </c:pt>
                <c:pt idx="4">
                  <c:v>-88.374999999999986</c:v>
                </c:pt>
                <c:pt idx="5">
                  <c:v>-49.275000000000112</c:v>
                </c:pt>
                <c:pt idx="6">
                  <c:v>78.149999999999977</c:v>
                </c:pt>
                <c:pt idx="7">
                  <c:v>63.699999999999996</c:v>
                </c:pt>
                <c:pt idx="8">
                  <c:v>27.350000000000136</c:v>
                </c:pt>
                <c:pt idx="9">
                  <c:v>43.15</c:v>
                </c:pt>
              </c:numCache>
            </c:numRef>
          </c:val>
        </c:ser>
        <c:axId val="118303360"/>
        <c:axId val="118305152"/>
      </c:barChart>
      <c:catAx>
        <c:axId val="118303360"/>
        <c:scaling>
          <c:orientation val="minMax"/>
        </c:scaling>
        <c:axPos val="b"/>
        <c:numFmt formatCode="General" sourceLinked="1"/>
        <c:tickLblPos val="nextTo"/>
        <c:txPr>
          <a:bodyPr/>
          <a:lstStyle/>
          <a:p>
            <a:pPr>
              <a:defRPr b="1"/>
            </a:pPr>
            <a:endParaRPr lang="es-ES"/>
          </a:p>
        </c:txPr>
        <c:crossAx val="118305152"/>
        <c:crosses val="autoZero"/>
        <c:auto val="1"/>
        <c:lblAlgn val="ctr"/>
        <c:lblOffset val="100"/>
      </c:catAx>
      <c:valAx>
        <c:axId val="118305152"/>
        <c:scaling>
          <c:orientation val="minMax"/>
        </c:scaling>
        <c:axPos val="l"/>
        <c:majorGridlines/>
        <c:numFmt formatCode="0.0" sourceLinked="1"/>
        <c:tickLblPos val="nextTo"/>
        <c:txPr>
          <a:bodyPr/>
          <a:lstStyle/>
          <a:p>
            <a:pPr>
              <a:defRPr b="1"/>
            </a:pPr>
            <a:endParaRPr lang="es-ES"/>
          </a:p>
        </c:txPr>
        <c:crossAx val="118303360"/>
        <c:crosses val="autoZero"/>
        <c:crossBetween val="between"/>
      </c:valAx>
      <c:spPr>
        <a:solidFill>
          <a:schemeClr val="accent3">
            <a:lumMod val="40000"/>
            <a:lumOff val="60000"/>
          </a:schemeClr>
        </a:solidFill>
      </c:spPr>
    </c:plotArea>
    <c:legend>
      <c:legendPos val="r"/>
      <c:legendEntry>
        <c:idx val="1"/>
        <c:txPr>
          <a:bodyPr/>
          <a:lstStyle/>
          <a:p>
            <a:pPr>
              <a:defRPr b="1">
                <a:solidFill>
                  <a:srgbClr val="C00000"/>
                </a:solidFill>
              </a:defRPr>
            </a:pPr>
            <a:endParaRPr lang="es-ES"/>
          </a:p>
        </c:txPr>
      </c:legendEntry>
      <c:legendEntry>
        <c:idx val="0"/>
        <c:txPr>
          <a:bodyPr/>
          <a:lstStyle/>
          <a:p>
            <a:pPr>
              <a:defRPr b="1">
                <a:solidFill>
                  <a:srgbClr val="0070C0"/>
                </a:solidFill>
              </a:defRPr>
            </a:pPr>
            <a:endParaRPr lang="es-ES"/>
          </a:p>
        </c:txPr>
      </c:legendEntry>
      <c:layout>
        <c:manualLayout>
          <c:xMode val="edge"/>
          <c:yMode val="edge"/>
          <c:x val="0.69984391967822901"/>
          <c:y val="5.878148210197133E-2"/>
          <c:w val="0.27861623916424222"/>
          <c:h val="0.14065433310197936"/>
        </c:manualLayout>
      </c:layout>
    </c:legend>
    <c:plotVisOnly val="1"/>
  </c:chart>
  <c:spPr>
    <a:blipFill>
      <a:blip xmlns:r="http://schemas.openxmlformats.org/officeDocument/2006/relationships" r:embed="rId1"/>
      <a:tile tx="0" ty="0" sx="100000" sy="100000" flip="none" algn="tl"/>
    </a:blipFill>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5.0550874151672323E-2"/>
          <c:y val="2.3273321476762147E-2"/>
          <c:w val="0.93241696955658937"/>
          <c:h val="0.90863964413780585"/>
        </c:manualLayout>
      </c:layout>
      <c:lineChart>
        <c:grouping val="standard"/>
        <c:ser>
          <c:idx val="0"/>
          <c:order val="0"/>
          <c:tx>
            <c:strRef>
              <c:f>'tabla-4241'!$A$57</c:f>
              <c:strCache>
                <c:ptCount val="1"/>
                <c:pt idx="0">
                  <c:v>medias anuales</c:v>
                </c:pt>
              </c:strCache>
            </c:strRef>
          </c:tx>
          <c:marker>
            <c:symbol val="none"/>
          </c:marker>
          <c:cat>
            <c:numRef>
              <c:f>'tabla-4241'!$B$56:$L$56</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'tabla-4241'!$B$57:$L$57</c:f>
              <c:numCache>
                <c:formatCode>0.0</c:formatCode>
                <c:ptCount val="11"/>
                <c:pt idx="0">
                  <c:v>44.4</c:v>
                </c:pt>
                <c:pt idx="1">
                  <c:v>40.425000000000011</c:v>
                </c:pt>
                <c:pt idx="2">
                  <c:v>36.15</c:v>
                </c:pt>
                <c:pt idx="3">
                  <c:v>34.425000000000011</c:v>
                </c:pt>
                <c:pt idx="4">
                  <c:v>34.075000000000003</c:v>
                </c:pt>
                <c:pt idx="5">
                  <c:v>32.325000000000003</c:v>
                </c:pt>
                <c:pt idx="6">
                  <c:v>31.450000000000003</c:v>
                </c:pt>
                <c:pt idx="7">
                  <c:v>34.325000000000003</c:v>
                </c:pt>
                <c:pt idx="8">
                  <c:v>35.150000000000006</c:v>
                </c:pt>
                <c:pt idx="9">
                  <c:v>35.550000000000004</c:v>
                </c:pt>
                <c:pt idx="10">
                  <c:v>35.849999999999994</c:v>
                </c:pt>
              </c:numCache>
            </c:numRef>
          </c:val>
          <c:smooth val="1"/>
        </c:ser>
        <c:ser>
          <c:idx val="1"/>
          <c:order val="1"/>
          <c:tx>
            <c:strRef>
              <c:f>'tabla-4241'!$A$58</c:f>
              <c:strCache>
                <c:ptCount val="1"/>
                <c:pt idx="0">
                  <c:v>T. Temporalidad (4T)</c:v>
                </c:pt>
              </c:strCache>
            </c:strRef>
          </c:tx>
          <c:marker>
            <c:symbol val="none"/>
          </c:marker>
          <c:dLbls>
            <c:dLbl>
              <c:idx val="0"/>
              <c:layout>
                <c:manualLayout>
                  <c:x val="-1.3669467328842921E-2"/>
                  <c:y val="-2.5154637473642511E-2"/>
                </c:manualLayout>
              </c:layout>
              <c:tx>
                <c:rich>
                  <a:bodyPr/>
                  <a:lstStyle/>
                  <a:p>
                    <a:r>
                      <a:rPr lang="en-US"/>
                      <a:t>42,1 %</a:t>
                    </a:r>
                  </a:p>
                </c:rich>
              </c:tx>
              <c:showVal val="1"/>
            </c:dLbl>
            <c:dLbl>
              <c:idx val="1"/>
              <c:delete val="1"/>
            </c:dLbl>
            <c:dLbl>
              <c:idx val="2"/>
              <c:delete val="1"/>
            </c:dLbl>
            <c:dLbl>
              <c:idx val="3"/>
              <c:delete val="1"/>
            </c:dLbl>
            <c:dLbl>
              <c:idx val="4"/>
              <c:delete val="1"/>
            </c:dLbl>
            <c:dLbl>
              <c:idx val="5"/>
              <c:layout>
                <c:manualLayout>
                  <c:x val="-4.3742295452297394E-2"/>
                  <c:y val="2.3058417684172362E-2"/>
                </c:manualLayout>
              </c:layout>
              <c:tx>
                <c:rich>
                  <a:bodyPr/>
                  <a:lstStyle/>
                  <a:p>
                    <a:r>
                      <a:rPr lang="en-US"/>
                      <a:t>32 %</a:t>
                    </a:r>
                  </a:p>
                </c:rich>
              </c:tx>
              <c:showVal val="1"/>
            </c:dLbl>
            <c:dLbl>
              <c:idx val="6"/>
              <c:delete val="1"/>
            </c:dLbl>
            <c:dLbl>
              <c:idx val="7"/>
              <c:delete val="1"/>
            </c:dLbl>
            <c:dLbl>
              <c:idx val="8"/>
              <c:delete val="1"/>
            </c:dLbl>
            <c:dLbl>
              <c:idx val="9"/>
              <c:delete val="1"/>
            </c:dLbl>
            <c:dLbl>
              <c:idx val="10"/>
              <c:layout>
                <c:manualLayout>
                  <c:x val="-1.6403360794611556E-2"/>
                  <c:y val="3.1443296842053138E-2"/>
                </c:manualLayout>
              </c:layout>
              <c:tx>
                <c:rich>
                  <a:bodyPr/>
                  <a:lstStyle/>
                  <a:p>
                    <a:r>
                      <a:rPr lang="en-US"/>
                      <a:t>35,7 %</a:t>
                    </a:r>
                  </a:p>
                </c:rich>
              </c:tx>
              <c:showVal val="1"/>
            </c:dLbl>
            <c:txPr>
              <a:bodyPr/>
              <a:lstStyle/>
              <a:p>
                <a:pPr>
                  <a:defRPr b="1">
                    <a:solidFill>
                      <a:srgbClr val="C00000"/>
                    </a:solidFill>
                  </a:defRPr>
                </a:pPr>
                <a:endParaRPr lang="es-ES"/>
              </a:p>
            </c:txPr>
            <c:showVal val="1"/>
          </c:dLbls>
          <c:cat>
            <c:numRef>
              <c:f>'tabla-4241'!$B$56:$L$56</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'tabla-4241'!$B$58:$L$58</c:f>
              <c:numCache>
                <c:formatCode>General</c:formatCode>
                <c:ptCount val="11"/>
                <c:pt idx="0">
                  <c:v>42.1</c:v>
                </c:pt>
                <c:pt idx="1">
                  <c:v>38.5</c:v>
                </c:pt>
                <c:pt idx="2">
                  <c:v>35.5</c:v>
                </c:pt>
                <c:pt idx="3">
                  <c:v>34.200000000000003</c:v>
                </c:pt>
                <c:pt idx="4">
                  <c:v>34.200000000000003</c:v>
                </c:pt>
                <c:pt idx="5">
                  <c:v>32</c:v>
                </c:pt>
                <c:pt idx="6">
                  <c:v>33.5</c:v>
                </c:pt>
                <c:pt idx="7">
                  <c:v>35.4</c:v>
                </c:pt>
                <c:pt idx="8">
                  <c:v>35.5</c:v>
                </c:pt>
                <c:pt idx="9">
                  <c:v>35.300000000000004</c:v>
                </c:pt>
                <c:pt idx="10">
                  <c:v>35.700000000000003</c:v>
                </c:pt>
              </c:numCache>
            </c:numRef>
          </c:val>
        </c:ser>
        <c:marker val="1"/>
        <c:axId val="118330880"/>
        <c:axId val="118332416"/>
      </c:lineChart>
      <c:catAx>
        <c:axId val="118330880"/>
        <c:scaling>
          <c:orientation val="minMax"/>
        </c:scaling>
        <c:axPos val="b"/>
        <c:numFmt formatCode="General" sourceLinked="1"/>
        <c:tickLblPos val="nextTo"/>
        <c:txPr>
          <a:bodyPr/>
          <a:lstStyle/>
          <a:p>
            <a:pPr>
              <a:defRPr b="1"/>
            </a:pPr>
            <a:endParaRPr lang="es-ES"/>
          </a:p>
        </c:txPr>
        <c:crossAx val="118332416"/>
        <c:crosses val="autoZero"/>
        <c:auto val="1"/>
        <c:lblAlgn val="ctr"/>
        <c:lblOffset val="100"/>
      </c:catAx>
      <c:valAx>
        <c:axId val="118332416"/>
        <c:scaling>
          <c:orientation val="minMax"/>
          <c:min val="30"/>
        </c:scaling>
        <c:axPos val="l"/>
        <c:majorGridlines/>
        <c:numFmt formatCode="0.0" sourceLinked="1"/>
        <c:tickLblPos val="nextTo"/>
        <c:txPr>
          <a:bodyPr/>
          <a:lstStyle/>
          <a:p>
            <a:pPr>
              <a:defRPr b="1"/>
            </a:pPr>
            <a:endParaRPr lang="es-ES"/>
          </a:p>
        </c:txPr>
        <c:crossAx val="118330880"/>
        <c:crosses val="autoZero"/>
        <c:crossBetween val="between"/>
      </c:valAx>
      <c:spPr>
        <a:solidFill>
          <a:srgbClr val="9BBB59">
            <a:lumMod val="40000"/>
            <a:lumOff val="60000"/>
          </a:srgbClr>
        </a:solidFill>
      </c:spPr>
    </c:plotArea>
    <c:legend>
      <c:legendPos val="r"/>
      <c:legendEntry>
        <c:idx val="0"/>
        <c:txPr>
          <a:bodyPr/>
          <a:lstStyle/>
          <a:p>
            <a:pPr>
              <a:defRPr b="1">
                <a:solidFill>
                  <a:srgbClr val="0070C0"/>
                </a:solidFill>
              </a:defRPr>
            </a:pPr>
            <a:endParaRPr lang="es-ES"/>
          </a:p>
        </c:txPr>
      </c:legendEntry>
      <c:legendEntry>
        <c:idx val="1"/>
        <c:txPr>
          <a:bodyPr/>
          <a:lstStyle/>
          <a:p>
            <a:pPr>
              <a:defRPr b="1">
                <a:solidFill>
                  <a:srgbClr val="C00000"/>
                </a:solidFill>
              </a:defRPr>
            </a:pPr>
            <a:endParaRPr lang="es-ES"/>
          </a:p>
        </c:txPr>
      </c:legendEntry>
      <c:layout>
        <c:manualLayout>
          <c:xMode val="edge"/>
          <c:yMode val="edge"/>
          <c:x val="0.6798534825667969"/>
          <c:y val="4.285019868697406E-2"/>
          <c:w val="0.27640424885741588"/>
          <c:h val="0.13850731041065009"/>
        </c:manualLayout>
      </c:layout>
    </c:legend>
    <c:plotVisOnly val="1"/>
    <c:dispBlanksAs val="gap"/>
  </c:chart>
  <c:spPr>
    <a:blipFill>
      <a:blip xmlns:r="http://schemas.openxmlformats.org/officeDocument/2006/relationships" r:embed="rId1"/>
      <a:tile tx="0" ty="0" sx="100000" sy="100000" flip="none" algn="tl"/>
    </a:blipFill>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4.4987293315232407E-2"/>
          <c:y val="1.9080881897821707E-2"/>
          <c:w val="0.94172598444113265"/>
          <c:h val="0.90863964413780585"/>
        </c:manualLayout>
      </c:layout>
      <c:lineChart>
        <c:grouping val="standard"/>
        <c:ser>
          <c:idx val="0"/>
          <c:order val="0"/>
          <c:tx>
            <c:strRef>
              <c:f>'tabla-4241'!$A$62</c:f>
              <c:strCache>
                <c:ptCount val="1"/>
                <c:pt idx="0">
                  <c:v>% CONTRATOS INDEFINIDOS</c:v>
                </c:pt>
              </c:strCache>
            </c:strRef>
          </c:tx>
          <c:marker>
            <c:symbol val="none"/>
          </c:marker>
          <c:dLbls>
            <c:dLbl>
              <c:idx val="1"/>
              <c:layout>
                <c:manualLayout>
                  <c:x val="-4.100840198652889E-3"/>
                  <c:y val="-2.3058417684172362E-2"/>
                </c:manualLayout>
              </c:layout>
              <c:showVal val="1"/>
            </c:dLbl>
            <c:dLbl>
              <c:idx val="6"/>
              <c:layout>
                <c:manualLayout>
                  <c:x val="-9.5686271301900511E-3"/>
                  <c:y val="-3.1443296842053228E-2"/>
                </c:manualLayout>
              </c:layout>
              <c:showVal val="1"/>
            </c:dLbl>
            <c:dLbl>
              <c:idx val="8"/>
              <c:layout>
                <c:manualLayout>
                  <c:x val="-2.7338934657685911E-3"/>
                  <c:y val="-2.7250857263112785E-2"/>
                </c:manualLayout>
              </c:layout>
              <c:showVal val="1"/>
            </c:dLbl>
            <c:dLbl>
              <c:idx val="9"/>
              <c:layout>
                <c:manualLayout>
                  <c:x val="4.1008401986529887E-3"/>
                  <c:y val="-1.2577318736821256E-2"/>
                </c:manualLayout>
              </c:layout>
              <c:showVal val="1"/>
            </c:dLbl>
            <c:txPr>
              <a:bodyPr/>
              <a:lstStyle/>
              <a:p>
                <a:pPr>
                  <a:defRPr b="1">
                    <a:solidFill>
                      <a:srgbClr val="0070C0"/>
                    </a:solidFill>
                  </a:defRPr>
                </a:pPr>
                <a:endParaRPr lang="es-ES"/>
              </a:p>
            </c:txPr>
            <c:showVal val="1"/>
          </c:dLbls>
          <c:cat>
            <c:numRef>
              <c:f>'tabla-4241'!$B$61:$M$61</c:f>
              <c:numCache>
                <c:formatCode>General</c:formatCode>
                <c:ptCount val="12"/>
                <c:pt idx="0">
                  <c:v>2006</c:v>
                </c:pt>
                <c:pt idx="1">
                  <c:v>2007</c:v>
                </c:pt>
                <c:pt idx="2">
                  <c:v>2008</c:v>
                </c:pt>
                <c:pt idx="3">
                  <c:v>2009</c:v>
                </c:pt>
                <c:pt idx="4">
                  <c:v>2010</c:v>
                </c:pt>
                <c:pt idx="5">
                  <c:v>2011</c:v>
                </c:pt>
                <c:pt idx="6">
                  <c:v>2012</c:v>
                </c:pt>
                <c:pt idx="7">
                  <c:v>2013</c:v>
                </c:pt>
                <c:pt idx="8">
                  <c:v>2014</c:v>
                </c:pt>
                <c:pt idx="9">
                  <c:v>2015</c:v>
                </c:pt>
                <c:pt idx="10">
                  <c:v>2016</c:v>
                </c:pt>
                <c:pt idx="11">
                  <c:v>2017</c:v>
                </c:pt>
              </c:numCache>
            </c:numRef>
          </c:cat>
          <c:val>
            <c:numRef>
              <c:f>'tabla-4241'!$B$62:$M$62</c:f>
              <c:numCache>
                <c:formatCode>General</c:formatCode>
                <c:ptCount val="12"/>
                <c:pt idx="0">
                  <c:v>2.5499999999999998</c:v>
                </c:pt>
                <c:pt idx="1">
                  <c:v>3.11</c:v>
                </c:pt>
                <c:pt idx="2">
                  <c:v>2.82</c:v>
                </c:pt>
                <c:pt idx="3">
                  <c:v>2.42</c:v>
                </c:pt>
                <c:pt idx="4">
                  <c:v>2.2400000000000002</c:v>
                </c:pt>
                <c:pt idx="5">
                  <c:v>1.06</c:v>
                </c:pt>
                <c:pt idx="6">
                  <c:v>2.0699999999999998</c:v>
                </c:pt>
                <c:pt idx="7">
                  <c:v>1.9700000000000015</c:v>
                </c:pt>
                <c:pt idx="8">
                  <c:v>2.34</c:v>
                </c:pt>
                <c:pt idx="9">
                  <c:v>2.27</c:v>
                </c:pt>
                <c:pt idx="10">
                  <c:v>2.21</c:v>
                </c:pt>
                <c:pt idx="11">
                  <c:v>3.7</c:v>
                </c:pt>
              </c:numCache>
            </c:numRef>
          </c:val>
          <c:smooth val="1"/>
        </c:ser>
        <c:marker val="1"/>
        <c:axId val="118451584"/>
        <c:axId val="118465664"/>
      </c:lineChart>
      <c:catAx>
        <c:axId val="118451584"/>
        <c:scaling>
          <c:orientation val="minMax"/>
        </c:scaling>
        <c:axPos val="b"/>
        <c:numFmt formatCode="General" sourceLinked="1"/>
        <c:tickLblPos val="nextTo"/>
        <c:txPr>
          <a:bodyPr/>
          <a:lstStyle/>
          <a:p>
            <a:pPr>
              <a:defRPr b="1"/>
            </a:pPr>
            <a:endParaRPr lang="es-ES"/>
          </a:p>
        </c:txPr>
        <c:crossAx val="118465664"/>
        <c:crosses val="autoZero"/>
        <c:auto val="1"/>
        <c:lblAlgn val="ctr"/>
        <c:lblOffset val="100"/>
      </c:catAx>
      <c:valAx>
        <c:axId val="118465664"/>
        <c:scaling>
          <c:orientation val="minMax"/>
          <c:min val="1"/>
        </c:scaling>
        <c:axPos val="l"/>
        <c:majorGridlines/>
        <c:numFmt formatCode="General" sourceLinked="1"/>
        <c:tickLblPos val="nextTo"/>
        <c:txPr>
          <a:bodyPr/>
          <a:lstStyle/>
          <a:p>
            <a:pPr>
              <a:defRPr b="1"/>
            </a:pPr>
            <a:endParaRPr lang="es-ES"/>
          </a:p>
        </c:txPr>
        <c:crossAx val="118451584"/>
        <c:crosses val="autoZero"/>
        <c:crossBetween val="between"/>
      </c:valAx>
      <c:spPr>
        <a:solidFill>
          <a:srgbClr val="9BBB59">
            <a:lumMod val="40000"/>
            <a:lumOff val="60000"/>
          </a:srgbClr>
        </a:solidFill>
      </c:spPr>
    </c:plotArea>
    <c:legend>
      <c:legendPos val="r"/>
      <c:layout>
        <c:manualLayout>
          <c:xMode val="edge"/>
          <c:yMode val="edge"/>
          <c:x val="0.7515984397002663"/>
          <c:y val="3.8744743976462916E-2"/>
          <c:w val="0.1991914779158992"/>
          <c:h val="3.7905760890645832E-2"/>
        </c:manualLayout>
      </c:layout>
      <c:txPr>
        <a:bodyPr/>
        <a:lstStyle/>
        <a:p>
          <a:pPr>
            <a:defRPr b="1">
              <a:solidFill>
                <a:srgbClr val="0070C0"/>
              </a:solidFill>
            </a:defRPr>
          </a:pPr>
          <a:endParaRPr lang="es-ES"/>
        </a:p>
      </c:txPr>
    </c:legend>
    <c:plotVisOnly val="1"/>
  </c:chart>
  <c:spPr>
    <a:blipFill>
      <a:blip xmlns:r="http://schemas.openxmlformats.org/officeDocument/2006/relationships" r:embed="rId1"/>
      <a:tile tx="0" ty="0" sx="100000" sy="100000" flip="none" algn="tl"/>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7.2046057709477321E-2"/>
          <c:y val="8.8203811983940006E-2"/>
          <c:w val="0.91155058149590928"/>
          <c:h val="0.88852286653929791"/>
        </c:manualLayout>
      </c:layout>
      <c:barChart>
        <c:barDir val="col"/>
        <c:grouping val="clustered"/>
        <c:ser>
          <c:idx val="2"/>
          <c:order val="0"/>
          <c:dPt>
            <c:idx val="0"/>
            <c:spPr>
              <a:solidFill>
                <a:srgbClr val="FF0000"/>
              </a:solidFill>
            </c:spPr>
          </c:dPt>
          <c:dPt>
            <c:idx val="1"/>
            <c:spPr>
              <a:solidFill>
                <a:srgbClr val="FF0000"/>
              </a:solidFill>
            </c:spPr>
          </c:dPt>
          <c:dPt>
            <c:idx val="2"/>
            <c:spPr>
              <a:solidFill>
                <a:srgbClr val="FF0000"/>
              </a:solidFill>
            </c:spPr>
          </c:dPt>
          <c:dPt>
            <c:idx val="3"/>
            <c:spPr>
              <a:solidFill>
                <a:srgbClr val="00B050"/>
              </a:solidFill>
            </c:spPr>
          </c:dPt>
          <c:dPt>
            <c:idx val="4"/>
            <c:spPr>
              <a:solidFill>
                <a:srgbClr val="00B050"/>
              </a:solidFill>
            </c:spPr>
          </c:dPt>
          <c:dPt>
            <c:idx val="5"/>
            <c:spPr>
              <a:solidFill>
                <a:srgbClr val="00B050"/>
              </a:solidFill>
            </c:spPr>
          </c:dPt>
          <c:dLbls>
            <c:txPr>
              <a:bodyPr/>
              <a:lstStyle/>
              <a:p>
                <a:pPr>
                  <a:defRPr b="1"/>
                </a:pPr>
                <a:endParaRPr lang="es-ES"/>
              </a:p>
            </c:txPr>
            <c:showVal val="1"/>
          </c:dLbls>
          <c:cat>
            <c:strRef>
              <c:f>'tabla-4241'!$A$112:$A$117</c:f>
              <c:strCache>
                <c:ptCount val="6"/>
                <c:pt idx="0">
                  <c:v>16-19 AÑOS</c:v>
                </c:pt>
                <c:pt idx="1">
                  <c:v>20-24 AÑOS</c:v>
                </c:pt>
                <c:pt idx="2">
                  <c:v>25-34 AÑOS</c:v>
                </c:pt>
                <c:pt idx="3">
                  <c:v>35-44 AÑOS</c:v>
                </c:pt>
                <c:pt idx="4">
                  <c:v>45-54 AÑOS</c:v>
                </c:pt>
                <c:pt idx="5">
                  <c:v>55 Y MÁS</c:v>
                </c:pt>
              </c:strCache>
            </c:strRef>
          </c:cat>
          <c:val>
            <c:numRef>
              <c:f>'tabla-4241'!$D$112:$D$117</c:f>
              <c:numCache>
                <c:formatCode>#,##0.0</c:formatCode>
                <c:ptCount val="6"/>
                <c:pt idx="0">
                  <c:v>-259.5</c:v>
                </c:pt>
                <c:pt idx="1">
                  <c:v>-868.80000000000007</c:v>
                </c:pt>
                <c:pt idx="2">
                  <c:v>-312</c:v>
                </c:pt>
                <c:pt idx="3">
                  <c:v>240.60000000000014</c:v>
                </c:pt>
                <c:pt idx="4">
                  <c:v>613.90000000000009</c:v>
                </c:pt>
                <c:pt idx="5">
                  <c:v>572.4</c:v>
                </c:pt>
              </c:numCache>
            </c:numRef>
          </c:val>
        </c:ser>
        <c:axId val="118479872"/>
        <c:axId val="118485760"/>
      </c:barChart>
      <c:catAx>
        <c:axId val="118479872"/>
        <c:scaling>
          <c:orientation val="minMax"/>
        </c:scaling>
        <c:axPos val="b"/>
        <c:majorTickMark val="none"/>
        <c:tickLblPos val="nextTo"/>
        <c:txPr>
          <a:bodyPr/>
          <a:lstStyle/>
          <a:p>
            <a:pPr>
              <a:defRPr b="1"/>
            </a:pPr>
            <a:endParaRPr lang="es-ES"/>
          </a:p>
        </c:txPr>
        <c:crossAx val="118485760"/>
        <c:crosses val="autoZero"/>
        <c:auto val="1"/>
        <c:lblAlgn val="ctr"/>
        <c:lblOffset val="100"/>
      </c:catAx>
      <c:valAx>
        <c:axId val="118485760"/>
        <c:scaling>
          <c:orientation val="minMax"/>
        </c:scaling>
        <c:axPos val="l"/>
        <c:majorGridlines/>
        <c:numFmt formatCode="#,##0.0" sourceLinked="1"/>
        <c:majorTickMark val="none"/>
        <c:tickLblPos val="nextTo"/>
        <c:txPr>
          <a:bodyPr/>
          <a:lstStyle/>
          <a:p>
            <a:pPr>
              <a:defRPr b="1"/>
            </a:pPr>
            <a:endParaRPr lang="es-ES"/>
          </a:p>
        </c:txPr>
        <c:crossAx val="118479872"/>
        <c:crosses val="autoZero"/>
        <c:crossBetween val="between"/>
      </c:valAx>
      <c:spPr>
        <a:solidFill>
          <a:srgbClr val="9BBB59">
            <a:lumMod val="40000"/>
            <a:lumOff val="60000"/>
          </a:srgbClr>
        </a:solidFill>
      </c:spPr>
    </c:plotArea>
    <c:plotVisOnly val="1"/>
  </c:chart>
  <c:spPr>
    <a:blipFill>
      <a:blip xmlns:r="http://schemas.openxmlformats.org/officeDocument/2006/relationships" r:embed="rId1"/>
      <a:tile tx="0" ty="0" sx="100000" sy="100000" flip="none" algn="tl"/>
    </a:blipFill>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6.2395413775314316E-2"/>
          <c:y val="2.3273321476762147E-2"/>
          <c:w val="0.91697047147499799"/>
          <c:h val="0.87133221369888125"/>
        </c:manualLayout>
      </c:layout>
      <c:barChart>
        <c:barDir val="col"/>
        <c:grouping val="clustered"/>
        <c:ser>
          <c:idx val="0"/>
          <c:order val="0"/>
          <c:tx>
            <c:strRef>
              <c:f>'tabla-4241'!$A$124</c:f>
              <c:strCache>
                <c:ptCount val="1"/>
                <c:pt idx="0">
                  <c:v>de 1 a menos de 2</c:v>
                </c:pt>
              </c:strCache>
            </c:strRef>
          </c:tx>
          <c:cat>
            <c:strRef>
              <c:f>'tabla-4241'!$B$123:$AC$123</c:f>
              <c:strCache>
                <c:ptCount val="28"/>
                <c:pt idx="0">
                  <c:v>2011T1</c:v>
                </c:pt>
                <c:pt idx="1">
                  <c:v>2011T2</c:v>
                </c:pt>
                <c:pt idx="2">
                  <c:v>2011T3</c:v>
                </c:pt>
                <c:pt idx="3">
                  <c:v>2011T4</c:v>
                </c:pt>
                <c:pt idx="4">
                  <c:v>2012T1</c:v>
                </c:pt>
                <c:pt idx="5">
                  <c:v>2012T2</c:v>
                </c:pt>
                <c:pt idx="6">
                  <c:v>2012T3</c:v>
                </c:pt>
                <c:pt idx="7">
                  <c:v>2012T4</c:v>
                </c:pt>
                <c:pt idx="8">
                  <c:v>2013T1</c:v>
                </c:pt>
                <c:pt idx="9">
                  <c:v>2013T2</c:v>
                </c:pt>
                <c:pt idx="10">
                  <c:v>2013T3</c:v>
                </c:pt>
                <c:pt idx="11">
                  <c:v>2013T4</c:v>
                </c:pt>
                <c:pt idx="12">
                  <c:v>2014T1</c:v>
                </c:pt>
                <c:pt idx="13">
                  <c:v>2014T2</c:v>
                </c:pt>
                <c:pt idx="14">
                  <c:v>2014T3</c:v>
                </c:pt>
                <c:pt idx="15">
                  <c:v>2014T4</c:v>
                </c:pt>
                <c:pt idx="16">
                  <c:v>2015T1</c:v>
                </c:pt>
                <c:pt idx="17">
                  <c:v>2015T2</c:v>
                </c:pt>
                <c:pt idx="18">
                  <c:v>2015T3</c:v>
                </c:pt>
                <c:pt idx="19">
                  <c:v>2015T4</c:v>
                </c:pt>
                <c:pt idx="20">
                  <c:v>2016T1</c:v>
                </c:pt>
                <c:pt idx="21">
                  <c:v>2016T2</c:v>
                </c:pt>
                <c:pt idx="22">
                  <c:v>2016T3</c:v>
                </c:pt>
                <c:pt idx="23">
                  <c:v>2016T4</c:v>
                </c:pt>
                <c:pt idx="24">
                  <c:v>2017T1</c:v>
                </c:pt>
                <c:pt idx="25">
                  <c:v>2017T2</c:v>
                </c:pt>
                <c:pt idx="26">
                  <c:v>2017T3</c:v>
                </c:pt>
                <c:pt idx="27">
                  <c:v>2017T4</c:v>
                </c:pt>
              </c:strCache>
            </c:strRef>
          </c:cat>
          <c:val>
            <c:numRef>
              <c:f>'tabla-4241'!$B$124:$AC$124</c:f>
              <c:numCache>
                <c:formatCode>#,##0.0</c:formatCode>
                <c:ptCount val="28"/>
                <c:pt idx="0">
                  <c:v>259.5</c:v>
                </c:pt>
                <c:pt idx="1">
                  <c:v>250.5</c:v>
                </c:pt>
                <c:pt idx="2">
                  <c:v>264.60000000000002</c:v>
                </c:pt>
                <c:pt idx="3">
                  <c:v>275.8</c:v>
                </c:pt>
                <c:pt idx="4">
                  <c:v>277.89999999999969</c:v>
                </c:pt>
                <c:pt idx="5">
                  <c:v>282.2</c:v>
                </c:pt>
                <c:pt idx="6">
                  <c:v>296.5</c:v>
                </c:pt>
                <c:pt idx="7">
                  <c:v>295.7</c:v>
                </c:pt>
                <c:pt idx="8">
                  <c:v>302.60000000000002</c:v>
                </c:pt>
                <c:pt idx="9">
                  <c:v>305.8</c:v>
                </c:pt>
                <c:pt idx="10">
                  <c:v>283.89999999999969</c:v>
                </c:pt>
                <c:pt idx="11">
                  <c:v>271.10000000000002</c:v>
                </c:pt>
                <c:pt idx="12">
                  <c:v>254.3</c:v>
                </c:pt>
                <c:pt idx="13">
                  <c:v>256.8</c:v>
                </c:pt>
                <c:pt idx="14">
                  <c:v>242.7</c:v>
                </c:pt>
                <c:pt idx="15">
                  <c:v>224.7</c:v>
                </c:pt>
                <c:pt idx="16">
                  <c:v>208.4</c:v>
                </c:pt>
                <c:pt idx="17">
                  <c:v>202.7</c:v>
                </c:pt>
                <c:pt idx="18">
                  <c:v>176.9</c:v>
                </c:pt>
                <c:pt idx="19">
                  <c:v>174.8</c:v>
                </c:pt>
                <c:pt idx="20">
                  <c:v>162.9</c:v>
                </c:pt>
                <c:pt idx="21">
                  <c:v>175</c:v>
                </c:pt>
                <c:pt idx="22">
                  <c:v>152.4</c:v>
                </c:pt>
                <c:pt idx="23">
                  <c:v>150.1</c:v>
                </c:pt>
                <c:pt idx="24">
                  <c:v>151.80000000000001</c:v>
                </c:pt>
                <c:pt idx="25">
                  <c:v>123.5</c:v>
                </c:pt>
                <c:pt idx="26">
                  <c:v>129.9</c:v>
                </c:pt>
                <c:pt idx="27">
                  <c:v>130.19999999999999</c:v>
                </c:pt>
              </c:numCache>
            </c:numRef>
          </c:val>
        </c:ser>
        <c:ser>
          <c:idx val="1"/>
          <c:order val="1"/>
          <c:tx>
            <c:strRef>
              <c:f>'tabla-4241'!$A$125</c:f>
              <c:strCache>
                <c:ptCount val="1"/>
                <c:pt idx="0">
                  <c:v>2 años o más</c:v>
                </c:pt>
              </c:strCache>
            </c:strRef>
          </c:tx>
          <c:cat>
            <c:strRef>
              <c:f>'tabla-4241'!$B$123:$AC$123</c:f>
              <c:strCache>
                <c:ptCount val="28"/>
                <c:pt idx="0">
                  <c:v>2011T1</c:v>
                </c:pt>
                <c:pt idx="1">
                  <c:v>2011T2</c:v>
                </c:pt>
                <c:pt idx="2">
                  <c:v>2011T3</c:v>
                </c:pt>
                <c:pt idx="3">
                  <c:v>2011T4</c:v>
                </c:pt>
                <c:pt idx="4">
                  <c:v>2012T1</c:v>
                </c:pt>
                <c:pt idx="5">
                  <c:v>2012T2</c:v>
                </c:pt>
                <c:pt idx="6">
                  <c:v>2012T3</c:v>
                </c:pt>
                <c:pt idx="7">
                  <c:v>2012T4</c:v>
                </c:pt>
                <c:pt idx="8">
                  <c:v>2013T1</c:v>
                </c:pt>
                <c:pt idx="9">
                  <c:v>2013T2</c:v>
                </c:pt>
                <c:pt idx="10">
                  <c:v>2013T3</c:v>
                </c:pt>
                <c:pt idx="11">
                  <c:v>2013T4</c:v>
                </c:pt>
                <c:pt idx="12">
                  <c:v>2014T1</c:v>
                </c:pt>
                <c:pt idx="13">
                  <c:v>2014T2</c:v>
                </c:pt>
                <c:pt idx="14">
                  <c:v>2014T3</c:v>
                </c:pt>
                <c:pt idx="15">
                  <c:v>2014T4</c:v>
                </c:pt>
                <c:pt idx="16">
                  <c:v>2015T1</c:v>
                </c:pt>
                <c:pt idx="17">
                  <c:v>2015T2</c:v>
                </c:pt>
                <c:pt idx="18">
                  <c:v>2015T3</c:v>
                </c:pt>
                <c:pt idx="19">
                  <c:v>2015T4</c:v>
                </c:pt>
                <c:pt idx="20">
                  <c:v>2016T1</c:v>
                </c:pt>
                <c:pt idx="21">
                  <c:v>2016T2</c:v>
                </c:pt>
                <c:pt idx="22">
                  <c:v>2016T3</c:v>
                </c:pt>
                <c:pt idx="23">
                  <c:v>2016T4</c:v>
                </c:pt>
                <c:pt idx="24">
                  <c:v>2017T1</c:v>
                </c:pt>
                <c:pt idx="25">
                  <c:v>2017T2</c:v>
                </c:pt>
                <c:pt idx="26">
                  <c:v>2017T3</c:v>
                </c:pt>
                <c:pt idx="27">
                  <c:v>2017T4</c:v>
                </c:pt>
              </c:strCache>
            </c:strRef>
          </c:cat>
          <c:val>
            <c:numRef>
              <c:f>'tabla-4241'!$B$125:$AC$125</c:f>
              <c:numCache>
                <c:formatCode>#,##0.0</c:formatCode>
                <c:ptCount val="28"/>
                <c:pt idx="0">
                  <c:v>292.39999999999969</c:v>
                </c:pt>
                <c:pt idx="1">
                  <c:v>324.2</c:v>
                </c:pt>
                <c:pt idx="2">
                  <c:v>323.5</c:v>
                </c:pt>
                <c:pt idx="3">
                  <c:v>354.2</c:v>
                </c:pt>
                <c:pt idx="4">
                  <c:v>404.7</c:v>
                </c:pt>
                <c:pt idx="5">
                  <c:v>447.1</c:v>
                </c:pt>
                <c:pt idx="6">
                  <c:v>462.3</c:v>
                </c:pt>
                <c:pt idx="7">
                  <c:v>515.4</c:v>
                </c:pt>
                <c:pt idx="8">
                  <c:v>555.9</c:v>
                </c:pt>
                <c:pt idx="9">
                  <c:v>567.4</c:v>
                </c:pt>
                <c:pt idx="10">
                  <c:v>575.70000000000005</c:v>
                </c:pt>
                <c:pt idx="11">
                  <c:v>614.29999999999995</c:v>
                </c:pt>
                <c:pt idx="12">
                  <c:v>634.4</c:v>
                </c:pt>
                <c:pt idx="13">
                  <c:v>620.29999999999995</c:v>
                </c:pt>
                <c:pt idx="14">
                  <c:v>623.5</c:v>
                </c:pt>
                <c:pt idx="15">
                  <c:v>617</c:v>
                </c:pt>
                <c:pt idx="16">
                  <c:v>611.70000000000005</c:v>
                </c:pt>
                <c:pt idx="17">
                  <c:v>590.4</c:v>
                </c:pt>
                <c:pt idx="18">
                  <c:v>605.29999999999995</c:v>
                </c:pt>
                <c:pt idx="19">
                  <c:v>540</c:v>
                </c:pt>
                <c:pt idx="20">
                  <c:v>502.1</c:v>
                </c:pt>
                <c:pt idx="21">
                  <c:v>476.7</c:v>
                </c:pt>
                <c:pt idx="22">
                  <c:v>459.2</c:v>
                </c:pt>
                <c:pt idx="23">
                  <c:v>465.5</c:v>
                </c:pt>
                <c:pt idx="24">
                  <c:v>458.1</c:v>
                </c:pt>
                <c:pt idx="25">
                  <c:v>428</c:v>
                </c:pt>
                <c:pt idx="26">
                  <c:v>371.4</c:v>
                </c:pt>
                <c:pt idx="27">
                  <c:v>362.1</c:v>
                </c:pt>
              </c:numCache>
            </c:numRef>
          </c:val>
        </c:ser>
        <c:axId val="119253632"/>
        <c:axId val="119267712"/>
      </c:barChart>
      <c:lineChart>
        <c:grouping val="standard"/>
        <c:ser>
          <c:idx val="2"/>
          <c:order val="2"/>
          <c:tx>
            <c:strRef>
              <c:f>'tabla-4241'!$A$126</c:f>
              <c:strCache>
                <c:ptCount val="1"/>
                <c:pt idx="0">
                  <c:v>Más de 1 año</c:v>
                </c:pt>
              </c:strCache>
            </c:strRef>
          </c:tx>
          <c:marker>
            <c:symbol val="none"/>
          </c:marker>
          <c:cat>
            <c:strRef>
              <c:f>'tabla-4241'!$B$123:$AC$123</c:f>
              <c:strCache>
                <c:ptCount val="28"/>
                <c:pt idx="0">
                  <c:v>2011T1</c:v>
                </c:pt>
                <c:pt idx="1">
                  <c:v>2011T2</c:v>
                </c:pt>
                <c:pt idx="2">
                  <c:v>2011T3</c:v>
                </c:pt>
                <c:pt idx="3">
                  <c:v>2011T4</c:v>
                </c:pt>
                <c:pt idx="4">
                  <c:v>2012T1</c:v>
                </c:pt>
                <c:pt idx="5">
                  <c:v>2012T2</c:v>
                </c:pt>
                <c:pt idx="6">
                  <c:v>2012T3</c:v>
                </c:pt>
                <c:pt idx="7">
                  <c:v>2012T4</c:v>
                </c:pt>
                <c:pt idx="8">
                  <c:v>2013T1</c:v>
                </c:pt>
                <c:pt idx="9">
                  <c:v>2013T2</c:v>
                </c:pt>
                <c:pt idx="10">
                  <c:v>2013T3</c:v>
                </c:pt>
                <c:pt idx="11">
                  <c:v>2013T4</c:v>
                </c:pt>
                <c:pt idx="12">
                  <c:v>2014T1</c:v>
                </c:pt>
                <c:pt idx="13">
                  <c:v>2014T2</c:v>
                </c:pt>
                <c:pt idx="14">
                  <c:v>2014T3</c:v>
                </c:pt>
                <c:pt idx="15">
                  <c:v>2014T4</c:v>
                </c:pt>
                <c:pt idx="16">
                  <c:v>2015T1</c:v>
                </c:pt>
                <c:pt idx="17">
                  <c:v>2015T2</c:v>
                </c:pt>
                <c:pt idx="18">
                  <c:v>2015T3</c:v>
                </c:pt>
                <c:pt idx="19">
                  <c:v>2015T4</c:v>
                </c:pt>
                <c:pt idx="20">
                  <c:v>2016T1</c:v>
                </c:pt>
                <c:pt idx="21">
                  <c:v>2016T2</c:v>
                </c:pt>
                <c:pt idx="22">
                  <c:v>2016T3</c:v>
                </c:pt>
                <c:pt idx="23">
                  <c:v>2016T4</c:v>
                </c:pt>
                <c:pt idx="24">
                  <c:v>2017T1</c:v>
                </c:pt>
                <c:pt idx="25">
                  <c:v>2017T2</c:v>
                </c:pt>
                <c:pt idx="26">
                  <c:v>2017T3</c:v>
                </c:pt>
                <c:pt idx="27">
                  <c:v>2017T4</c:v>
                </c:pt>
              </c:strCache>
            </c:strRef>
          </c:cat>
          <c:val>
            <c:numRef>
              <c:f>'tabla-4241'!$B$126:$AC$126</c:f>
              <c:numCache>
                <c:formatCode>#,##0.0</c:formatCode>
                <c:ptCount val="28"/>
                <c:pt idx="0">
                  <c:v>551.9</c:v>
                </c:pt>
                <c:pt idx="1">
                  <c:v>574.70000000000005</c:v>
                </c:pt>
                <c:pt idx="2">
                  <c:v>588.1</c:v>
                </c:pt>
                <c:pt idx="3">
                  <c:v>630</c:v>
                </c:pt>
                <c:pt idx="4">
                  <c:v>682.59999999999991</c:v>
                </c:pt>
                <c:pt idx="5">
                  <c:v>729.3</c:v>
                </c:pt>
                <c:pt idx="6">
                  <c:v>758.8</c:v>
                </c:pt>
                <c:pt idx="7">
                  <c:v>811.09999999999991</c:v>
                </c:pt>
                <c:pt idx="8">
                  <c:v>858.5</c:v>
                </c:pt>
                <c:pt idx="9">
                  <c:v>873.2</c:v>
                </c:pt>
                <c:pt idx="10">
                  <c:v>859.6</c:v>
                </c:pt>
                <c:pt idx="11">
                  <c:v>885.4</c:v>
                </c:pt>
                <c:pt idx="12">
                  <c:v>888.7</c:v>
                </c:pt>
                <c:pt idx="13">
                  <c:v>877.09999999999991</c:v>
                </c:pt>
                <c:pt idx="14">
                  <c:v>866.2</c:v>
                </c:pt>
                <c:pt idx="15">
                  <c:v>841.7</c:v>
                </c:pt>
                <c:pt idx="16">
                  <c:v>820.1</c:v>
                </c:pt>
                <c:pt idx="17">
                  <c:v>793.09999999999991</c:v>
                </c:pt>
                <c:pt idx="18">
                  <c:v>782.19999999999993</c:v>
                </c:pt>
                <c:pt idx="19">
                  <c:v>714.8</c:v>
                </c:pt>
                <c:pt idx="20">
                  <c:v>665</c:v>
                </c:pt>
                <c:pt idx="21">
                  <c:v>651.70000000000005</c:v>
                </c:pt>
                <c:pt idx="22">
                  <c:v>611.6</c:v>
                </c:pt>
                <c:pt idx="23">
                  <c:v>615.6</c:v>
                </c:pt>
                <c:pt idx="24">
                  <c:v>609.90000000000009</c:v>
                </c:pt>
                <c:pt idx="25">
                  <c:v>551.5</c:v>
                </c:pt>
                <c:pt idx="26">
                  <c:v>501.2999999999995</c:v>
                </c:pt>
                <c:pt idx="27">
                  <c:v>492.3</c:v>
                </c:pt>
              </c:numCache>
            </c:numRef>
          </c:val>
        </c:ser>
        <c:marker val="1"/>
        <c:axId val="119253632"/>
        <c:axId val="119267712"/>
      </c:lineChart>
      <c:catAx>
        <c:axId val="119253632"/>
        <c:scaling>
          <c:orientation val="minMax"/>
        </c:scaling>
        <c:axPos val="b"/>
        <c:majorTickMark val="none"/>
        <c:tickLblPos val="nextTo"/>
        <c:txPr>
          <a:bodyPr/>
          <a:lstStyle/>
          <a:p>
            <a:pPr>
              <a:defRPr b="1"/>
            </a:pPr>
            <a:endParaRPr lang="es-ES"/>
          </a:p>
        </c:txPr>
        <c:crossAx val="119267712"/>
        <c:crosses val="autoZero"/>
        <c:auto val="1"/>
        <c:lblAlgn val="ctr"/>
        <c:lblOffset val="100"/>
      </c:catAx>
      <c:valAx>
        <c:axId val="119267712"/>
        <c:scaling>
          <c:orientation val="minMax"/>
        </c:scaling>
        <c:axPos val="l"/>
        <c:majorGridlines/>
        <c:numFmt formatCode="#,##0.0" sourceLinked="1"/>
        <c:majorTickMark val="none"/>
        <c:tickLblPos val="nextTo"/>
        <c:txPr>
          <a:bodyPr/>
          <a:lstStyle/>
          <a:p>
            <a:pPr>
              <a:defRPr b="1"/>
            </a:pPr>
            <a:endParaRPr lang="es-ES"/>
          </a:p>
        </c:txPr>
        <c:crossAx val="119253632"/>
        <c:crosses val="autoZero"/>
        <c:crossBetween val="between"/>
      </c:valAx>
      <c:spPr>
        <a:solidFill>
          <a:srgbClr val="9BBB59">
            <a:lumMod val="40000"/>
            <a:lumOff val="60000"/>
          </a:srgbClr>
        </a:solidFill>
      </c:spPr>
    </c:plotArea>
    <c:legend>
      <c:legendPos val="r"/>
      <c:legendEntry>
        <c:idx val="0"/>
        <c:txPr>
          <a:bodyPr/>
          <a:lstStyle/>
          <a:p>
            <a:pPr>
              <a:defRPr b="1">
                <a:solidFill>
                  <a:srgbClr val="0070C0"/>
                </a:solidFill>
              </a:defRPr>
            </a:pPr>
            <a:endParaRPr lang="es-ES"/>
          </a:p>
        </c:txPr>
      </c:legendEntry>
      <c:legendEntry>
        <c:idx val="1"/>
        <c:txPr>
          <a:bodyPr/>
          <a:lstStyle/>
          <a:p>
            <a:pPr>
              <a:defRPr b="1">
                <a:solidFill>
                  <a:srgbClr val="C00000"/>
                </a:solidFill>
              </a:defRPr>
            </a:pPr>
            <a:endParaRPr lang="es-ES"/>
          </a:p>
        </c:txPr>
      </c:legendEntry>
      <c:legendEntry>
        <c:idx val="2"/>
        <c:txPr>
          <a:bodyPr/>
          <a:lstStyle/>
          <a:p>
            <a:pPr>
              <a:defRPr b="1">
                <a:solidFill>
                  <a:schemeClr val="accent3">
                    <a:lumMod val="75000"/>
                  </a:schemeClr>
                </a:solidFill>
              </a:defRPr>
            </a:pPr>
            <a:endParaRPr lang="es-ES"/>
          </a:p>
        </c:txPr>
      </c:legendEntry>
      <c:layout>
        <c:manualLayout>
          <c:xMode val="edge"/>
          <c:yMode val="edge"/>
          <c:x val="0.70489792668202544"/>
          <c:y val="3.6474719506810749E-2"/>
          <c:w val="0.27869886148991541"/>
          <c:h val="0.16060458814264542"/>
        </c:manualLayout>
      </c:layout>
    </c:legend>
    <c:plotVisOnly val="1"/>
    <c:dispBlanksAs val="gap"/>
  </c:chart>
  <c:spPr>
    <a:blipFill>
      <a:blip xmlns:r="http://schemas.openxmlformats.org/officeDocument/2006/relationships" r:embed="rId1"/>
      <a:tile tx="0" ty="0" sx="100000" sy="100000" flip="none" algn="tl"/>
    </a:blipFill>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tx>
            <c:strRef>
              <c:f>'tabla-4241'!$A$132</c:f>
              <c:strCache>
                <c:ptCount val="1"/>
                <c:pt idx="0">
                  <c:v>HOGARES TODOS MIEMBROS PARO (IV T)</c:v>
                </c:pt>
              </c:strCache>
            </c:strRef>
          </c:tx>
          <c:dLbls>
            <c:txPr>
              <a:bodyPr/>
              <a:lstStyle/>
              <a:p>
                <a:pPr>
                  <a:defRPr b="1">
                    <a:solidFill>
                      <a:srgbClr val="0070C0"/>
                    </a:solidFill>
                  </a:defRPr>
                </a:pPr>
                <a:endParaRPr lang="es-ES"/>
              </a:p>
            </c:txPr>
            <c:showVal val="1"/>
          </c:dLbls>
          <c:cat>
            <c:numRef>
              <c:f>'tabla-4241'!$B$131:$L$131</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'tabla-4241'!$B$132:$L$132</c:f>
              <c:numCache>
                <c:formatCode>General</c:formatCode>
                <c:ptCount val="11"/>
                <c:pt idx="0">
                  <c:v>139.19999999999999</c:v>
                </c:pt>
                <c:pt idx="1">
                  <c:v>248.5</c:v>
                </c:pt>
                <c:pt idx="2">
                  <c:v>322.2</c:v>
                </c:pt>
                <c:pt idx="3">
                  <c:v>356.2</c:v>
                </c:pt>
                <c:pt idx="4">
                  <c:v>411.5</c:v>
                </c:pt>
                <c:pt idx="5">
                  <c:v>499.8</c:v>
                </c:pt>
                <c:pt idx="6">
                  <c:v>516.1</c:v>
                </c:pt>
                <c:pt idx="7">
                  <c:v>496.6</c:v>
                </c:pt>
                <c:pt idx="8">
                  <c:v>403</c:v>
                </c:pt>
                <c:pt idx="9">
                  <c:v>384.8</c:v>
                </c:pt>
                <c:pt idx="10">
                  <c:v>312.10000000000002</c:v>
                </c:pt>
              </c:numCache>
            </c:numRef>
          </c:val>
        </c:ser>
        <c:axId val="119320576"/>
        <c:axId val="119322112"/>
      </c:barChart>
      <c:catAx>
        <c:axId val="119320576"/>
        <c:scaling>
          <c:orientation val="minMax"/>
        </c:scaling>
        <c:axPos val="b"/>
        <c:numFmt formatCode="General" sourceLinked="1"/>
        <c:tickLblPos val="nextTo"/>
        <c:txPr>
          <a:bodyPr/>
          <a:lstStyle/>
          <a:p>
            <a:pPr>
              <a:defRPr b="1"/>
            </a:pPr>
            <a:endParaRPr lang="es-ES"/>
          </a:p>
        </c:txPr>
        <c:crossAx val="119322112"/>
        <c:crosses val="autoZero"/>
        <c:auto val="1"/>
        <c:lblAlgn val="ctr"/>
        <c:lblOffset val="100"/>
      </c:catAx>
      <c:valAx>
        <c:axId val="119322112"/>
        <c:scaling>
          <c:orientation val="minMax"/>
        </c:scaling>
        <c:axPos val="l"/>
        <c:majorGridlines/>
        <c:numFmt formatCode="General" sourceLinked="1"/>
        <c:tickLblPos val="nextTo"/>
        <c:txPr>
          <a:bodyPr/>
          <a:lstStyle/>
          <a:p>
            <a:pPr>
              <a:defRPr b="1"/>
            </a:pPr>
            <a:endParaRPr lang="es-ES"/>
          </a:p>
        </c:txPr>
        <c:crossAx val="119320576"/>
        <c:crosses val="autoZero"/>
        <c:crossBetween val="between"/>
      </c:valAx>
      <c:spPr>
        <a:solidFill>
          <a:srgbClr val="9BBB59">
            <a:lumMod val="40000"/>
            <a:lumOff val="60000"/>
          </a:srgbClr>
        </a:solidFill>
      </c:spPr>
    </c:plotArea>
    <c:plotVisOnly val="1"/>
  </c:chart>
  <c:spPr>
    <a:blipFill>
      <a:blip xmlns:r="http://schemas.openxmlformats.org/officeDocument/2006/relationships" r:embed="rId1"/>
      <a:tile tx="0" ty="0" sx="100000" sy="100000" flip="none" algn="tl"/>
    </a:blipFill>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barChart>
        <c:barDir val="col"/>
        <c:grouping val="clustered"/>
        <c:ser>
          <c:idx val="0"/>
          <c:order val="0"/>
          <c:dLbls>
            <c:txPr>
              <a:bodyPr/>
              <a:lstStyle/>
              <a:p>
                <a:pPr>
                  <a:defRPr b="1">
                    <a:solidFill>
                      <a:srgbClr val="0070C0"/>
                    </a:solidFill>
                  </a:defRPr>
                </a:pPr>
                <a:endParaRPr lang="es-ES"/>
              </a:p>
            </c:txPr>
            <c:showVal val="1"/>
          </c:dLbls>
          <c:cat>
            <c:multiLvlStrRef>
              <c:f>'tabla-4241'!$P$135:$AJ$136</c:f>
              <c:multiLvlStrCache>
                <c:ptCount val="21"/>
                <c:lvl>
                  <c:pt idx="0">
                    <c:v>enero</c:v>
                  </c:pt>
                  <c:pt idx="1">
                    <c:v>diciembre</c:v>
                  </c:pt>
                  <c:pt idx="2">
                    <c:v>enero</c:v>
                  </c:pt>
                  <c:pt idx="3">
                    <c:v>diciembre</c:v>
                  </c:pt>
                  <c:pt idx="4">
                    <c:v>enero</c:v>
                  </c:pt>
                  <c:pt idx="5">
                    <c:v>diciembre</c:v>
                  </c:pt>
                  <c:pt idx="6">
                    <c:v>enero</c:v>
                  </c:pt>
                  <c:pt idx="7">
                    <c:v>diciembre</c:v>
                  </c:pt>
                  <c:pt idx="8">
                    <c:v>enero</c:v>
                  </c:pt>
                  <c:pt idx="9">
                    <c:v>diciembre</c:v>
                  </c:pt>
                  <c:pt idx="10">
                    <c:v>enero</c:v>
                  </c:pt>
                  <c:pt idx="11">
                    <c:v>diciembre</c:v>
                  </c:pt>
                  <c:pt idx="12">
                    <c:v>enero</c:v>
                  </c:pt>
                  <c:pt idx="13">
                    <c:v>diciembre</c:v>
                  </c:pt>
                  <c:pt idx="14">
                    <c:v>enero</c:v>
                  </c:pt>
                  <c:pt idx="15">
                    <c:v>diciembre</c:v>
                  </c:pt>
                  <c:pt idx="16">
                    <c:v>enero</c:v>
                  </c:pt>
                  <c:pt idx="17">
                    <c:v>diciembre</c:v>
                  </c:pt>
                  <c:pt idx="18">
                    <c:v>enero</c:v>
                  </c:pt>
                  <c:pt idx="19">
                    <c:v>diciembre</c:v>
                  </c:pt>
                  <c:pt idx="20">
                    <c:v>enero</c:v>
                  </c:pt>
                </c:lvl>
                <c:lvl>
                  <c:pt idx="0">
                    <c:v>2008</c:v>
                  </c:pt>
                  <c:pt idx="2">
                    <c:v>2009</c:v>
                  </c:pt>
                  <c:pt idx="4">
                    <c:v>2010</c:v>
                  </c:pt>
                  <c:pt idx="6">
                    <c:v>2011</c:v>
                  </c:pt>
                  <c:pt idx="8">
                    <c:v>2012</c:v>
                  </c:pt>
                  <c:pt idx="10">
                    <c:v>2013</c:v>
                  </c:pt>
                  <c:pt idx="12">
                    <c:v>2014</c:v>
                  </c:pt>
                  <c:pt idx="14">
                    <c:v>2015</c:v>
                  </c:pt>
                  <c:pt idx="16">
                    <c:v>2016</c:v>
                  </c:pt>
                  <c:pt idx="18">
                    <c:v>2017</c:v>
                  </c:pt>
                  <c:pt idx="20">
                    <c:v>2018</c:v>
                  </c:pt>
                </c:lvl>
              </c:multiLvlStrCache>
            </c:multiLvlStrRef>
          </c:cat>
          <c:val>
            <c:numRef>
              <c:f>'tabla-4241'!$P$137:$AJ$137</c:f>
              <c:numCache>
                <c:formatCode>General</c:formatCode>
                <c:ptCount val="21"/>
                <c:pt idx="0">
                  <c:v>83.88</c:v>
                </c:pt>
                <c:pt idx="1">
                  <c:v>82.89</c:v>
                </c:pt>
                <c:pt idx="2">
                  <c:v>65.739999999999995</c:v>
                </c:pt>
                <c:pt idx="3">
                  <c:v>86.26</c:v>
                </c:pt>
                <c:pt idx="4">
                  <c:v>85.14</c:v>
                </c:pt>
                <c:pt idx="5">
                  <c:v>84.11999999999999</c:v>
                </c:pt>
                <c:pt idx="6">
                  <c:v>79.86999999999999</c:v>
                </c:pt>
                <c:pt idx="7">
                  <c:v>74.2</c:v>
                </c:pt>
                <c:pt idx="8">
                  <c:v>70.3</c:v>
                </c:pt>
                <c:pt idx="9">
                  <c:v>69.179999999999978</c:v>
                </c:pt>
                <c:pt idx="10">
                  <c:v>65.42</c:v>
                </c:pt>
                <c:pt idx="11">
                  <c:v>66.069999999999993</c:v>
                </c:pt>
                <c:pt idx="12">
                  <c:v>61.67</c:v>
                </c:pt>
                <c:pt idx="13">
                  <c:v>62.49</c:v>
                </c:pt>
                <c:pt idx="14">
                  <c:v>59</c:v>
                </c:pt>
                <c:pt idx="15">
                  <c:v>61.37</c:v>
                </c:pt>
                <c:pt idx="16">
                  <c:v>58</c:v>
                </c:pt>
                <c:pt idx="17">
                  <c:v>64.72</c:v>
                </c:pt>
                <c:pt idx="18">
                  <c:v>61.55</c:v>
                </c:pt>
                <c:pt idx="19">
                  <c:v>68.169999999999987</c:v>
                </c:pt>
                <c:pt idx="20">
                  <c:v>65.27</c:v>
                </c:pt>
              </c:numCache>
            </c:numRef>
          </c:val>
        </c:ser>
        <c:axId val="119415936"/>
        <c:axId val="119417472"/>
      </c:barChart>
      <c:catAx>
        <c:axId val="119415936"/>
        <c:scaling>
          <c:orientation val="minMax"/>
        </c:scaling>
        <c:axPos val="b"/>
        <c:majorTickMark val="none"/>
        <c:tickLblPos val="nextTo"/>
        <c:txPr>
          <a:bodyPr/>
          <a:lstStyle/>
          <a:p>
            <a:pPr>
              <a:defRPr b="1"/>
            </a:pPr>
            <a:endParaRPr lang="es-ES"/>
          </a:p>
        </c:txPr>
        <c:crossAx val="119417472"/>
        <c:crosses val="autoZero"/>
        <c:auto val="1"/>
        <c:lblAlgn val="ctr"/>
        <c:lblOffset val="100"/>
      </c:catAx>
      <c:valAx>
        <c:axId val="119417472"/>
        <c:scaling>
          <c:orientation val="minMax"/>
          <c:min val="50"/>
        </c:scaling>
        <c:axPos val="l"/>
        <c:majorGridlines/>
        <c:numFmt formatCode="General" sourceLinked="1"/>
        <c:majorTickMark val="none"/>
        <c:tickLblPos val="nextTo"/>
        <c:txPr>
          <a:bodyPr/>
          <a:lstStyle/>
          <a:p>
            <a:pPr>
              <a:defRPr b="1"/>
            </a:pPr>
            <a:endParaRPr lang="es-ES"/>
          </a:p>
        </c:txPr>
        <c:crossAx val="119415936"/>
        <c:crosses val="autoZero"/>
        <c:crossBetween val="between"/>
      </c:valAx>
      <c:spPr>
        <a:solidFill>
          <a:srgbClr val="9BBB59">
            <a:lumMod val="40000"/>
            <a:lumOff val="60000"/>
          </a:srgbClr>
        </a:solidFill>
      </c:spPr>
    </c:plotArea>
    <c:plotVisOnly val="1"/>
  </c:chart>
  <c:spPr>
    <a:blipFill>
      <a:blip xmlns:r="http://schemas.openxmlformats.org/officeDocument/2006/relationships" r:embed="rId1"/>
      <a:tile tx="0" ty="0" sx="100000" sy="100000" flip="none" algn="tl"/>
    </a:blipFill>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plotArea>
      <c:layout>
        <c:manualLayout>
          <c:layoutTarget val="inner"/>
          <c:xMode val="edge"/>
          <c:yMode val="edge"/>
          <c:x val="5.8848133186678947E-2"/>
          <c:y val="2.3273321476762129E-2"/>
          <c:w val="0.91534111402283924"/>
          <c:h val="0.87133221369888081"/>
        </c:manualLayout>
      </c:layout>
      <c:lineChart>
        <c:grouping val="standard"/>
        <c:ser>
          <c:idx val="0"/>
          <c:order val="0"/>
          <c:tx>
            <c:strRef>
              <c:f>'tabla-4241'!$A$145</c:f>
              <c:strCache>
                <c:ptCount val="1"/>
                <c:pt idx="0">
                  <c:v>tasa paro masculina</c:v>
                </c:pt>
              </c:strCache>
            </c:strRef>
          </c:tx>
          <c:marker>
            <c:symbol val="none"/>
          </c:marker>
          <c:cat>
            <c:strRef>
              <c:f>'tabla-4241'!$B$144:$BM$144</c:f>
              <c:strCache>
                <c:ptCount val="64"/>
                <c:pt idx="0">
                  <c:v>2002T1</c:v>
                </c:pt>
                <c:pt idx="1">
                  <c:v>2002T2</c:v>
                </c:pt>
                <c:pt idx="2">
                  <c:v>2002T3</c:v>
                </c:pt>
                <c:pt idx="3">
                  <c:v>2002T4</c:v>
                </c:pt>
                <c:pt idx="4">
                  <c:v>2003T1</c:v>
                </c:pt>
                <c:pt idx="5">
                  <c:v>2003T2</c:v>
                </c:pt>
                <c:pt idx="6">
                  <c:v>2003T3</c:v>
                </c:pt>
                <c:pt idx="7">
                  <c:v>2003T4</c:v>
                </c:pt>
                <c:pt idx="8">
                  <c:v>2004T1</c:v>
                </c:pt>
                <c:pt idx="9">
                  <c:v>2004T2</c:v>
                </c:pt>
                <c:pt idx="10">
                  <c:v>2004T3</c:v>
                </c:pt>
                <c:pt idx="11">
                  <c:v>2004T4</c:v>
                </c:pt>
                <c:pt idx="12">
                  <c:v>2005T1</c:v>
                </c:pt>
                <c:pt idx="13">
                  <c:v>2005T2</c:v>
                </c:pt>
                <c:pt idx="14">
                  <c:v>2005T3</c:v>
                </c:pt>
                <c:pt idx="15">
                  <c:v>2005T4</c:v>
                </c:pt>
                <c:pt idx="16">
                  <c:v>2006T1</c:v>
                </c:pt>
                <c:pt idx="17">
                  <c:v>2006T2</c:v>
                </c:pt>
                <c:pt idx="18">
                  <c:v>2006T3</c:v>
                </c:pt>
                <c:pt idx="19">
                  <c:v>2006T4</c:v>
                </c:pt>
                <c:pt idx="20">
                  <c:v>2007T1</c:v>
                </c:pt>
                <c:pt idx="21">
                  <c:v>2007T2</c:v>
                </c:pt>
                <c:pt idx="22">
                  <c:v>2007T3</c:v>
                </c:pt>
                <c:pt idx="23">
                  <c:v>2007T4</c:v>
                </c:pt>
                <c:pt idx="24">
                  <c:v>2008T1</c:v>
                </c:pt>
                <c:pt idx="25">
                  <c:v>2008T2</c:v>
                </c:pt>
                <c:pt idx="26">
                  <c:v>2008T3</c:v>
                </c:pt>
                <c:pt idx="27">
                  <c:v>2008T4</c:v>
                </c:pt>
                <c:pt idx="28">
                  <c:v>2009T1</c:v>
                </c:pt>
                <c:pt idx="29">
                  <c:v>2009T2</c:v>
                </c:pt>
                <c:pt idx="30">
                  <c:v>2009T3</c:v>
                </c:pt>
                <c:pt idx="31">
                  <c:v>2009T4</c:v>
                </c:pt>
                <c:pt idx="32">
                  <c:v>2010T1</c:v>
                </c:pt>
                <c:pt idx="33">
                  <c:v>2010T2</c:v>
                </c:pt>
                <c:pt idx="34">
                  <c:v>2010T3</c:v>
                </c:pt>
                <c:pt idx="35">
                  <c:v>2010T4</c:v>
                </c:pt>
                <c:pt idx="36">
                  <c:v>2011T1</c:v>
                </c:pt>
                <c:pt idx="37">
                  <c:v>2011T2</c:v>
                </c:pt>
                <c:pt idx="38">
                  <c:v>2011T3</c:v>
                </c:pt>
                <c:pt idx="39">
                  <c:v>2011T4</c:v>
                </c:pt>
                <c:pt idx="40">
                  <c:v>2012T1</c:v>
                </c:pt>
                <c:pt idx="41">
                  <c:v>2012T2</c:v>
                </c:pt>
                <c:pt idx="42">
                  <c:v>2012T3</c:v>
                </c:pt>
                <c:pt idx="43">
                  <c:v>2012T4</c:v>
                </c:pt>
                <c:pt idx="44">
                  <c:v>2013T1</c:v>
                </c:pt>
                <c:pt idx="45">
                  <c:v>2013T2</c:v>
                </c:pt>
                <c:pt idx="46">
                  <c:v>2013T3</c:v>
                </c:pt>
                <c:pt idx="47">
                  <c:v>2013T4</c:v>
                </c:pt>
                <c:pt idx="48">
                  <c:v>2014T1</c:v>
                </c:pt>
                <c:pt idx="49">
                  <c:v>2014T2</c:v>
                </c:pt>
                <c:pt idx="50">
                  <c:v>2014T3</c:v>
                </c:pt>
                <c:pt idx="51">
                  <c:v>2014T4</c:v>
                </c:pt>
                <c:pt idx="52">
                  <c:v>2015T1</c:v>
                </c:pt>
                <c:pt idx="53">
                  <c:v>2015T2</c:v>
                </c:pt>
                <c:pt idx="54">
                  <c:v>2015T3</c:v>
                </c:pt>
                <c:pt idx="55">
                  <c:v>2015T4</c:v>
                </c:pt>
                <c:pt idx="56">
                  <c:v>2016T1</c:v>
                </c:pt>
                <c:pt idx="57">
                  <c:v>2016T2</c:v>
                </c:pt>
                <c:pt idx="58">
                  <c:v>2016T3</c:v>
                </c:pt>
                <c:pt idx="59">
                  <c:v>2016T4</c:v>
                </c:pt>
                <c:pt idx="60">
                  <c:v>2017T1</c:v>
                </c:pt>
                <c:pt idx="61">
                  <c:v>2017T2</c:v>
                </c:pt>
                <c:pt idx="62">
                  <c:v>2017T3</c:v>
                </c:pt>
                <c:pt idx="63">
                  <c:v>2017T4</c:v>
                </c:pt>
              </c:strCache>
            </c:strRef>
          </c:cat>
          <c:val>
            <c:numRef>
              <c:f>'tabla-4241'!$B$145:$BM$145</c:f>
              <c:numCache>
                <c:formatCode>#,##0.00</c:formatCode>
                <c:ptCount val="64"/>
                <c:pt idx="0">
                  <c:v>14.29</c:v>
                </c:pt>
                <c:pt idx="1">
                  <c:v>13.04</c:v>
                </c:pt>
                <c:pt idx="2">
                  <c:v>14.94</c:v>
                </c:pt>
                <c:pt idx="3">
                  <c:v>14.870000000000006</c:v>
                </c:pt>
                <c:pt idx="4">
                  <c:v>14.28</c:v>
                </c:pt>
                <c:pt idx="5">
                  <c:v>13.43</c:v>
                </c:pt>
                <c:pt idx="6">
                  <c:v>13.360000000000008</c:v>
                </c:pt>
                <c:pt idx="7">
                  <c:v>13.719999999999999</c:v>
                </c:pt>
                <c:pt idx="8">
                  <c:v>12.850000000000009</c:v>
                </c:pt>
                <c:pt idx="9">
                  <c:v>12.67</c:v>
                </c:pt>
                <c:pt idx="10">
                  <c:v>13.1</c:v>
                </c:pt>
                <c:pt idx="11">
                  <c:v>11.8</c:v>
                </c:pt>
                <c:pt idx="12">
                  <c:v>10.639999999999999</c:v>
                </c:pt>
                <c:pt idx="13">
                  <c:v>10.709999999999999</c:v>
                </c:pt>
                <c:pt idx="14">
                  <c:v>9.8800000000000008</c:v>
                </c:pt>
                <c:pt idx="15">
                  <c:v>10.3</c:v>
                </c:pt>
                <c:pt idx="16">
                  <c:v>9.9600000000000026</c:v>
                </c:pt>
                <c:pt idx="17">
                  <c:v>9.25</c:v>
                </c:pt>
                <c:pt idx="18">
                  <c:v>9.1</c:v>
                </c:pt>
                <c:pt idx="19">
                  <c:v>8.7800000000000011</c:v>
                </c:pt>
                <c:pt idx="20">
                  <c:v>9.48</c:v>
                </c:pt>
                <c:pt idx="21">
                  <c:v>8.66</c:v>
                </c:pt>
                <c:pt idx="22">
                  <c:v>9.49</c:v>
                </c:pt>
                <c:pt idx="23">
                  <c:v>10.59</c:v>
                </c:pt>
                <c:pt idx="24">
                  <c:v>11.9</c:v>
                </c:pt>
                <c:pt idx="25">
                  <c:v>13.9</c:v>
                </c:pt>
                <c:pt idx="26">
                  <c:v>15.48</c:v>
                </c:pt>
                <c:pt idx="27">
                  <c:v>19.71</c:v>
                </c:pt>
                <c:pt idx="28">
                  <c:v>22.45</c:v>
                </c:pt>
                <c:pt idx="29">
                  <c:v>23.87</c:v>
                </c:pt>
                <c:pt idx="30">
                  <c:v>24.54</c:v>
                </c:pt>
                <c:pt idx="31">
                  <c:v>25.36</c:v>
                </c:pt>
                <c:pt idx="32">
                  <c:v>26.6</c:v>
                </c:pt>
                <c:pt idx="33">
                  <c:v>26.810000000000016</c:v>
                </c:pt>
                <c:pt idx="34">
                  <c:v>26.82</c:v>
                </c:pt>
                <c:pt idx="35">
                  <c:v>26.54</c:v>
                </c:pt>
                <c:pt idx="36">
                  <c:v>27.77</c:v>
                </c:pt>
                <c:pt idx="37">
                  <c:v>28.1</c:v>
                </c:pt>
                <c:pt idx="38">
                  <c:v>29.18</c:v>
                </c:pt>
                <c:pt idx="39">
                  <c:v>29.7</c:v>
                </c:pt>
                <c:pt idx="40">
                  <c:v>31.58</c:v>
                </c:pt>
                <c:pt idx="41">
                  <c:v>33.15</c:v>
                </c:pt>
                <c:pt idx="42">
                  <c:v>34.700000000000003</c:v>
                </c:pt>
                <c:pt idx="43">
                  <c:v>34.260000000000012</c:v>
                </c:pt>
                <c:pt idx="44">
                  <c:v>35.730000000000011</c:v>
                </c:pt>
                <c:pt idx="45">
                  <c:v>34.550000000000004</c:v>
                </c:pt>
                <c:pt idx="46">
                  <c:v>34.75</c:v>
                </c:pt>
                <c:pt idx="47">
                  <c:v>34.08</c:v>
                </c:pt>
                <c:pt idx="48">
                  <c:v>33.39</c:v>
                </c:pt>
                <c:pt idx="49">
                  <c:v>32.92</c:v>
                </c:pt>
                <c:pt idx="50">
                  <c:v>32.839999999999996</c:v>
                </c:pt>
                <c:pt idx="51">
                  <c:v>31.67</c:v>
                </c:pt>
                <c:pt idx="52">
                  <c:v>30.89</c:v>
                </c:pt>
                <c:pt idx="53">
                  <c:v>28.650000000000016</c:v>
                </c:pt>
                <c:pt idx="54">
                  <c:v>29.5</c:v>
                </c:pt>
                <c:pt idx="55">
                  <c:v>27.29</c:v>
                </c:pt>
                <c:pt idx="56">
                  <c:v>26.85</c:v>
                </c:pt>
                <c:pt idx="57">
                  <c:v>26.66</c:v>
                </c:pt>
                <c:pt idx="58">
                  <c:v>25.59</c:v>
                </c:pt>
                <c:pt idx="59">
                  <c:v>25.7</c:v>
                </c:pt>
                <c:pt idx="60">
                  <c:v>24.22</c:v>
                </c:pt>
                <c:pt idx="61">
                  <c:v>23.29</c:v>
                </c:pt>
                <c:pt idx="62">
                  <c:v>22.610000000000017</c:v>
                </c:pt>
                <c:pt idx="63">
                  <c:v>21.630000000000017</c:v>
                </c:pt>
              </c:numCache>
            </c:numRef>
          </c:val>
        </c:ser>
        <c:ser>
          <c:idx val="1"/>
          <c:order val="1"/>
          <c:tx>
            <c:strRef>
              <c:f>'tabla-4241'!$A$146</c:f>
              <c:strCache>
                <c:ptCount val="1"/>
                <c:pt idx="0">
                  <c:v>tasa paro femenina</c:v>
                </c:pt>
              </c:strCache>
            </c:strRef>
          </c:tx>
          <c:marker>
            <c:symbol val="none"/>
          </c:marker>
          <c:cat>
            <c:strRef>
              <c:f>'tabla-4241'!$B$144:$BM$144</c:f>
              <c:strCache>
                <c:ptCount val="64"/>
                <c:pt idx="0">
                  <c:v>2002T1</c:v>
                </c:pt>
                <c:pt idx="1">
                  <c:v>2002T2</c:v>
                </c:pt>
                <c:pt idx="2">
                  <c:v>2002T3</c:v>
                </c:pt>
                <c:pt idx="3">
                  <c:v>2002T4</c:v>
                </c:pt>
                <c:pt idx="4">
                  <c:v>2003T1</c:v>
                </c:pt>
                <c:pt idx="5">
                  <c:v>2003T2</c:v>
                </c:pt>
                <c:pt idx="6">
                  <c:v>2003T3</c:v>
                </c:pt>
                <c:pt idx="7">
                  <c:v>2003T4</c:v>
                </c:pt>
                <c:pt idx="8">
                  <c:v>2004T1</c:v>
                </c:pt>
                <c:pt idx="9">
                  <c:v>2004T2</c:v>
                </c:pt>
                <c:pt idx="10">
                  <c:v>2004T3</c:v>
                </c:pt>
                <c:pt idx="11">
                  <c:v>2004T4</c:v>
                </c:pt>
                <c:pt idx="12">
                  <c:v>2005T1</c:v>
                </c:pt>
                <c:pt idx="13">
                  <c:v>2005T2</c:v>
                </c:pt>
                <c:pt idx="14">
                  <c:v>2005T3</c:v>
                </c:pt>
                <c:pt idx="15">
                  <c:v>2005T4</c:v>
                </c:pt>
                <c:pt idx="16">
                  <c:v>2006T1</c:v>
                </c:pt>
                <c:pt idx="17">
                  <c:v>2006T2</c:v>
                </c:pt>
                <c:pt idx="18">
                  <c:v>2006T3</c:v>
                </c:pt>
                <c:pt idx="19">
                  <c:v>2006T4</c:v>
                </c:pt>
                <c:pt idx="20">
                  <c:v>2007T1</c:v>
                </c:pt>
                <c:pt idx="21">
                  <c:v>2007T2</c:v>
                </c:pt>
                <c:pt idx="22">
                  <c:v>2007T3</c:v>
                </c:pt>
                <c:pt idx="23">
                  <c:v>2007T4</c:v>
                </c:pt>
                <c:pt idx="24">
                  <c:v>2008T1</c:v>
                </c:pt>
                <c:pt idx="25">
                  <c:v>2008T2</c:v>
                </c:pt>
                <c:pt idx="26">
                  <c:v>2008T3</c:v>
                </c:pt>
                <c:pt idx="27">
                  <c:v>2008T4</c:v>
                </c:pt>
                <c:pt idx="28">
                  <c:v>2009T1</c:v>
                </c:pt>
                <c:pt idx="29">
                  <c:v>2009T2</c:v>
                </c:pt>
                <c:pt idx="30">
                  <c:v>2009T3</c:v>
                </c:pt>
                <c:pt idx="31">
                  <c:v>2009T4</c:v>
                </c:pt>
                <c:pt idx="32">
                  <c:v>2010T1</c:v>
                </c:pt>
                <c:pt idx="33">
                  <c:v>2010T2</c:v>
                </c:pt>
                <c:pt idx="34">
                  <c:v>2010T3</c:v>
                </c:pt>
                <c:pt idx="35">
                  <c:v>2010T4</c:v>
                </c:pt>
                <c:pt idx="36">
                  <c:v>2011T1</c:v>
                </c:pt>
                <c:pt idx="37">
                  <c:v>2011T2</c:v>
                </c:pt>
                <c:pt idx="38">
                  <c:v>2011T3</c:v>
                </c:pt>
                <c:pt idx="39">
                  <c:v>2011T4</c:v>
                </c:pt>
                <c:pt idx="40">
                  <c:v>2012T1</c:v>
                </c:pt>
                <c:pt idx="41">
                  <c:v>2012T2</c:v>
                </c:pt>
                <c:pt idx="42">
                  <c:v>2012T3</c:v>
                </c:pt>
                <c:pt idx="43">
                  <c:v>2012T4</c:v>
                </c:pt>
                <c:pt idx="44">
                  <c:v>2013T1</c:v>
                </c:pt>
                <c:pt idx="45">
                  <c:v>2013T2</c:v>
                </c:pt>
                <c:pt idx="46">
                  <c:v>2013T3</c:v>
                </c:pt>
                <c:pt idx="47">
                  <c:v>2013T4</c:v>
                </c:pt>
                <c:pt idx="48">
                  <c:v>2014T1</c:v>
                </c:pt>
                <c:pt idx="49">
                  <c:v>2014T2</c:v>
                </c:pt>
                <c:pt idx="50">
                  <c:v>2014T3</c:v>
                </c:pt>
                <c:pt idx="51">
                  <c:v>2014T4</c:v>
                </c:pt>
                <c:pt idx="52">
                  <c:v>2015T1</c:v>
                </c:pt>
                <c:pt idx="53">
                  <c:v>2015T2</c:v>
                </c:pt>
                <c:pt idx="54">
                  <c:v>2015T3</c:v>
                </c:pt>
                <c:pt idx="55">
                  <c:v>2015T4</c:v>
                </c:pt>
                <c:pt idx="56">
                  <c:v>2016T1</c:v>
                </c:pt>
                <c:pt idx="57">
                  <c:v>2016T2</c:v>
                </c:pt>
                <c:pt idx="58">
                  <c:v>2016T3</c:v>
                </c:pt>
                <c:pt idx="59">
                  <c:v>2016T4</c:v>
                </c:pt>
                <c:pt idx="60">
                  <c:v>2017T1</c:v>
                </c:pt>
                <c:pt idx="61">
                  <c:v>2017T2</c:v>
                </c:pt>
                <c:pt idx="62">
                  <c:v>2017T3</c:v>
                </c:pt>
                <c:pt idx="63">
                  <c:v>2017T4</c:v>
                </c:pt>
              </c:strCache>
            </c:strRef>
          </c:cat>
          <c:val>
            <c:numRef>
              <c:f>'tabla-4241'!$B$146:$BM$146</c:f>
              <c:numCache>
                <c:formatCode>#,##0.00</c:formatCode>
                <c:ptCount val="64"/>
                <c:pt idx="0">
                  <c:v>26.47</c:v>
                </c:pt>
                <c:pt idx="1">
                  <c:v>27.51</c:v>
                </c:pt>
                <c:pt idx="2">
                  <c:v>28.939999999999987</c:v>
                </c:pt>
                <c:pt idx="3">
                  <c:v>28.650000000000016</c:v>
                </c:pt>
                <c:pt idx="4">
                  <c:v>26.49</c:v>
                </c:pt>
                <c:pt idx="5">
                  <c:v>25.12</c:v>
                </c:pt>
                <c:pt idx="6">
                  <c:v>26.650000000000016</c:v>
                </c:pt>
                <c:pt idx="7">
                  <c:v>25.54</c:v>
                </c:pt>
                <c:pt idx="8">
                  <c:v>23.89</c:v>
                </c:pt>
                <c:pt idx="9">
                  <c:v>24.66</c:v>
                </c:pt>
                <c:pt idx="10">
                  <c:v>24.35</c:v>
                </c:pt>
                <c:pt idx="11">
                  <c:v>22.459999999999987</c:v>
                </c:pt>
                <c:pt idx="12">
                  <c:v>19.899999999999999</c:v>
                </c:pt>
                <c:pt idx="13">
                  <c:v>18.34</c:v>
                </c:pt>
                <c:pt idx="14">
                  <c:v>19.2</c:v>
                </c:pt>
                <c:pt idx="15">
                  <c:v>19.21</c:v>
                </c:pt>
                <c:pt idx="16">
                  <c:v>18.37</c:v>
                </c:pt>
                <c:pt idx="17">
                  <c:v>17.43</c:v>
                </c:pt>
                <c:pt idx="18">
                  <c:v>17.510000000000005</c:v>
                </c:pt>
                <c:pt idx="19">
                  <c:v>17.36</c:v>
                </c:pt>
                <c:pt idx="20">
                  <c:v>16.939999999999987</c:v>
                </c:pt>
                <c:pt idx="21">
                  <c:v>16.760000000000002</c:v>
                </c:pt>
                <c:pt idx="22">
                  <c:v>17.149999999999999</c:v>
                </c:pt>
                <c:pt idx="23">
                  <c:v>18.760000000000002</c:v>
                </c:pt>
                <c:pt idx="24">
                  <c:v>18.87</c:v>
                </c:pt>
                <c:pt idx="25">
                  <c:v>19.37</c:v>
                </c:pt>
                <c:pt idx="26">
                  <c:v>22.07</c:v>
                </c:pt>
                <c:pt idx="27">
                  <c:v>24.34</c:v>
                </c:pt>
                <c:pt idx="28">
                  <c:v>25.95</c:v>
                </c:pt>
                <c:pt idx="29">
                  <c:v>27.12</c:v>
                </c:pt>
                <c:pt idx="30">
                  <c:v>26.830000000000005</c:v>
                </c:pt>
                <c:pt idx="31">
                  <c:v>27.47</c:v>
                </c:pt>
                <c:pt idx="32">
                  <c:v>27.630000000000017</c:v>
                </c:pt>
                <c:pt idx="33">
                  <c:v>28.68</c:v>
                </c:pt>
                <c:pt idx="34">
                  <c:v>30.419999999999987</c:v>
                </c:pt>
                <c:pt idx="35">
                  <c:v>29.959999999999987</c:v>
                </c:pt>
                <c:pt idx="36">
                  <c:v>31.4</c:v>
                </c:pt>
                <c:pt idx="37">
                  <c:v>31.19</c:v>
                </c:pt>
                <c:pt idx="38">
                  <c:v>32.61</c:v>
                </c:pt>
                <c:pt idx="39">
                  <c:v>32.67</c:v>
                </c:pt>
                <c:pt idx="40">
                  <c:v>34.53</c:v>
                </c:pt>
                <c:pt idx="41">
                  <c:v>34.130000000000003</c:v>
                </c:pt>
                <c:pt idx="42">
                  <c:v>35.83</c:v>
                </c:pt>
                <c:pt idx="43">
                  <c:v>37.46</c:v>
                </c:pt>
                <c:pt idx="44">
                  <c:v>38.03</c:v>
                </c:pt>
                <c:pt idx="45">
                  <c:v>37.020000000000003</c:v>
                </c:pt>
                <c:pt idx="46">
                  <c:v>37.97</c:v>
                </c:pt>
                <c:pt idx="47">
                  <c:v>38.89</c:v>
                </c:pt>
                <c:pt idx="48">
                  <c:v>36.83</c:v>
                </c:pt>
                <c:pt idx="49">
                  <c:v>36.949999999999996</c:v>
                </c:pt>
                <c:pt idx="50">
                  <c:v>38.120000000000012</c:v>
                </c:pt>
                <c:pt idx="51">
                  <c:v>37.309999999999995</c:v>
                </c:pt>
                <c:pt idx="52">
                  <c:v>36.910000000000004</c:v>
                </c:pt>
                <c:pt idx="53">
                  <c:v>33.770000000000003</c:v>
                </c:pt>
                <c:pt idx="54">
                  <c:v>34.43</c:v>
                </c:pt>
                <c:pt idx="55">
                  <c:v>32.870000000000005</c:v>
                </c:pt>
                <c:pt idx="56">
                  <c:v>33.130000000000003</c:v>
                </c:pt>
                <c:pt idx="57">
                  <c:v>31.97</c:v>
                </c:pt>
                <c:pt idx="58">
                  <c:v>32.07</c:v>
                </c:pt>
                <c:pt idx="59">
                  <c:v>31.38</c:v>
                </c:pt>
                <c:pt idx="60">
                  <c:v>30.25</c:v>
                </c:pt>
                <c:pt idx="61">
                  <c:v>27.630000000000017</c:v>
                </c:pt>
                <c:pt idx="62">
                  <c:v>28.84</c:v>
                </c:pt>
                <c:pt idx="63">
                  <c:v>27.85</c:v>
                </c:pt>
              </c:numCache>
            </c:numRef>
          </c:val>
        </c:ser>
        <c:marker val="1"/>
        <c:axId val="119461760"/>
        <c:axId val="119463296"/>
      </c:lineChart>
      <c:catAx>
        <c:axId val="119461760"/>
        <c:scaling>
          <c:orientation val="minMax"/>
        </c:scaling>
        <c:axPos val="b"/>
        <c:tickLblPos val="nextTo"/>
        <c:txPr>
          <a:bodyPr/>
          <a:lstStyle/>
          <a:p>
            <a:pPr>
              <a:defRPr b="1"/>
            </a:pPr>
            <a:endParaRPr lang="es-ES"/>
          </a:p>
        </c:txPr>
        <c:crossAx val="119463296"/>
        <c:crosses val="autoZero"/>
        <c:auto val="1"/>
        <c:lblAlgn val="ctr"/>
        <c:lblOffset val="100"/>
      </c:catAx>
      <c:valAx>
        <c:axId val="119463296"/>
        <c:scaling>
          <c:orientation val="minMax"/>
          <c:max val="40"/>
          <c:min val="5"/>
        </c:scaling>
        <c:axPos val="l"/>
        <c:majorGridlines/>
        <c:numFmt formatCode="#,##0.00" sourceLinked="1"/>
        <c:tickLblPos val="nextTo"/>
        <c:txPr>
          <a:bodyPr/>
          <a:lstStyle/>
          <a:p>
            <a:pPr>
              <a:defRPr sz="1200" b="1"/>
            </a:pPr>
            <a:endParaRPr lang="es-ES"/>
          </a:p>
        </c:txPr>
        <c:crossAx val="119461760"/>
        <c:crosses val="autoZero"/>
        <c:crossBetween val="between"/>
      </c:valAx>
      <c:spPr>
        <a:solidFill>
          <a:schemeClr val="accent3">
            <a:lumMod val="40000"/>
            <a:lumOff val="60000"/>
          </a:schemeClr>
        </a:solidFill>
      </c:spPr>
    </c:plotArea>
    <c:legend>
      <c:legendPos val="r"/>
      <c:legendEntry>
        <c:idx val="0"/>
        <c:txPr>
          <a:bodyPr/>
          <a:lstStyle/>
          <a:p>
            <a:pPr>
              <a:defRPr b="1">
                <a:solidFill>
                  <a:srgbClr val="0070C0"/>
                </a:solidFill>
              </a:defRPr>
            </a:pPr>
            <a:endParaRPr lang="es-ES"/>
          </a:p>
        </c:txPr>
      </c:legendEntry>
      <c:legendEntry>
        <c:idx val="1"/>
        <c:txPr>
          <a:bodyPr/>
          <a:lstStyle/>
          <a:p>
            <a:pPr>
              <a:defRPr b="1">
                <a:solidFill>
                  <a:srgbClr val="C00000"/>
                </a:solidFill>
              </a:defRPr>
            </a:pPr>
            <a:endParaRPr lang="es-ES"/>
          </a:p>
        </c:txPr>
      </c:legendEntry>
      <c:layout>
        <c:manualLayout>
          <c:xMode val="edge"/>
          <c:yMode val="edge"/>
          <c:x val="0.69539151561840373"/>
          <c:y val="0.58629327954874566"/>
          <c:w val="0.28575158702528131"/>
          <c:h val="0.13712570717938483"/>
        </c:manualLayout>
      </c:layout>
    </c:legend>
    <c:plotVisOnly val="1"/>
  </c:chart>
  <c:spPr>
    <a:blipFill>
      <a:blip xmlns:r="http://schemas.openxmlformats.org/officeDocument/2006/relationships" r:embed="rId1"/>
      <a:tile tx="0" ty="0" sx="100000" sy="100000" flip="none" algn="tl"/>
    </a:blipFill>
  </c:spPr>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8DC62-5CDB-4A2F-8E32-1A196748F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606</TotalTime>
  <Pages>39</Pages>
  <Words>10921</Words>
  <Characters>60066</Characters>
  <Application>Microsoft Office Word</Application>
  <DocSecurity>0</DocSecurity>
  <Lines>500</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Alberto del Pozo Sen</dc:creator>
  <cp:lastModifiedBy>manuel.nunez</cp:lastModifiedBy>
  <cp:revision>65</cp:revision>
  <cp:lastPrinted>2018-02-20T09:56:00Z</cp:lastPrinted>
  <dcterms:created xsi:type="dcterms:W3CDTF">2018-02-08T12:12:00Z</dcterms:created>
  <dcterms:modified xsi:type="dcterms:W3CDTF">2018-04-04T14:58:00Z</dcterms:modified>
</cp:coreProperties>
</file>